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Millot </w:t>
      </w:r>
      <w:r>
        <w:rPr>
          <w:color w:val="641e6e"/>
        </w:rPr>
        <w:t xml:space="preserve">Maître de conférences en histoire ancienne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 générale</w:t>
              </w:r>
            </w:hyperlink>
          </w:p>
          <w:p>
            <w:pPr/>
            <w:hyperlink r:id="rId9" w:history="1">
              <w:r>
                <w:rPr>
                  <w:color w:val="#410a8c"/>
                  <w:u w:val="single"/>
                </w:rPr>
                <w:t xml:space="preserve">Louis Autin</w:t>
              </w:r>
            </w:hyperlink>
            <w:r>
              <w:rPr/>
              <w:t xml:space="preserve">,</w:t>
            </w:r>
            <w:hyperlink r:id="rId10" w:history="1">
              <w:r>
                <w:rPr>
                  <w:color w:val="#410a8c"/>
                  <w:u w:val="single"/>
                </w:rPr>
                <w:t xml:space="preserve">Romain Millot</w:t>
              </w:r>
            </w:hyperlink>
          </w:p>
          <w:p>
            <w:pPr/>
            <w:r>
              <w:rPr/>
              <w:t xml:space="preserve">Louis Autin; Romain Millot. </w:t>
            </w:r>
            <w:r>
              <w:rPr>
                <w:i w:val="1"/>
                <w:iCs w:val="1"/>
              </w:rPr>
              <w:t xml:space="preserve">Derrière le voile du pouvoir. Études d'histoire, de littérature et de réception sur le monde romain</w:t>
            </w:r>
            <w:r>
              <w:rPr/>
              <w:t xml:space="preserve">, UGA éditions, pp.9-22, 2025, Lire l'Antiquité, 978-2-37747-531-5</w:t>
            </w:r>
          </w:p>
          <w:p>
            <w:pPr/>
            <w:r>
              <w:rPr/>
              <w:t xml:space="preserve">Chapitre d'ouvrage</w:t>
            </w:r>
          </w:p>
          <w:p>
            <w:pPr/>
            <w:hyperlink r:id="rId8" w:history="1">
              <w:r>
                <w:rPr>
                  <w:color w:val="#410a8c"/>
                  <w:u w:val="single"/>
                </w:rPr>
                <w:t xml:space="preserve">hal-05272091v1</w:t>
              </w:r>
            </w:hyperlink>
          </w:p>
        </w:tc>
      </w:tr>
      <w:tr>
        <w:trPr/>
        <w:tc>
          <w:tcPr>
            <w:noWrap/>
          </w:tcPr>
          <w:p>
            <w:pPr>
              <w:spacing w:after="200"/>
            </w:pPr>
            <w:hyperlink r:id="rId11" w:history="1">
              <w:r>
                <w:rPr>
                  <w:color w:val="1e198e"/>
                  <w:b w:val="1"/>
                  <w:bCs w:val="1"/>
                  <w:u w:val="single"/>
                </w:rPr>
                <w:t xml:space="preserve">Conclusion générale</w:t>
              </w:r>
            </w:hyperlink>
          </w:p>
          <w:p>
            <w:pPr/>
            <w:hyperlink r:id="rId9" w:history="1">
              <w:r>
                <w:rPr>
                  <w:color w:val="#410a8c"/>
                  <w:u w:val="single"/>
                </w:rPr>
                <w:t xml:space="preserve">Louis Autin</w:t>
              </w:r>
            </w:hyperlink>
            <w:r>
              <w:rPr/>
              <w:t xml:space="preserve">,</w:t>
            </w:r>
            <w:hyperlink r:id="rId10" w:history="1">
              <w:r>
                <w:rPr>
                  <w:color w:val="#410a8c"/>
                  <w:u w:val="single"/>
                </w:rPr>
                <w:t xml:space="preserve">Romain Millot</w:t>
              </w:r>
            </w:hyperlink>
          </w:p>
          <w:p>
            <w:pPr/>
            <w:r>
              <w:rPr/>
              <w:t xml:space="preserve">Louis Autin; Romain Millot. </w:t>
            </w:r>
            <w:r>
              <w:rPr>
                <w:i w:val="1"/>
                <w:iCs w:val="1"/>
              </w:rPr>
              <w:t xml:space="preserve">Derrière le voile du pouvoir. Études d'histoire, de littérature et de réception sur le monde romain</w:t>
            </w:r>
            <w:r>
              <w:rPr/>
              <w:t xml:space="preserve">, UGA éditions, pp.385-394, 2025, Lire l'Antiquité, 978-2-37747-531-5</w:t>
            </w:r>
          </w:p>
          <w:p>
            <w:pPr/>
            <w:r>
              <w:rPr/>
              <w:t xml:space="preserve">Chapitre d'ouvrage</w:t>
            </w:r>
          </w:p>
          <w:p>
            <w:pPr/>
            <w:hyperlink r:id="rId11" w:history="1">
              <w:r>
                <w:rPr>
                  <w:color w:val="#410a8c"/>
                  <w:u w:val="single"/>
                </w:rPr>
                <w:t xml:space="preserve">hal-05272102v1</w:t>
              </w:r>
            </w:hyperlink>
          </w:p>
        </w:tc>
      </w:tr>
      <w:tr>
        <w:trPr/>
        <w:tc>
          <w:tcPr>
            <w:noWrap/>
          </w:tcPr>
          <w:p>
            <w:pPr>
              <w:spacing w:after="200"/>
            </w:pPr>
            <w:hyperlink r:id="rId12" w:history="1">
              <w:r>
                <w:rPr>
                  <w:color w:val="1e198e"/>
                  <w:b w:val="1"/>
                  <w:bCs w:val="1"/>
                  <w:u w:val="single"/>
                </w:rPr>
                <w:t xml:space="preserve">Introduction. Comploter et trahir. Des cité antiques à la merci de leurs citoyens</w:t>
              </w:r>
            </w:hyperlink>
          </w:p>
          <w:p>
            <w:pPr/>
            <w:hyperlink r:id="rId10" w:history="1">
              <w:r>
                <w:rPr>
                  <w:color w:val="#410a8c"/>
                  <w:u w:val="single"/>
                </w:rPr>
                <w:t xml:space="preserve">Romain Millot</w:t>
              </w:r>
            </w:hyperlink>
            <w:r>
              <w:rPr/>
              <w:t xml:space="preserve">,</w:t>
            </w:r>
            <w:hyperlink r:id="rId13" w:history="1">
              <w:r>
                <w:rPr>
                  <w:color w:val="#410a8c"/>
                  <w:u w:val="single"/>
                </w:rPr>
                <w:t xml:space="preserve">Mathieu Engerbeaud</w:t>
              </w:r>
            </w:hyperlink>
          </w:p>
          <w:p>
            <w:pPr/>
            <w:r>
              <w:rPr/>
              <w:t xml:space="preserve">Presses Universitaires de Provence. </w:t>
            </w:r>
            <w:r>
              <w:rPr>
                <w:i w:val="1"/>
                <w:iCs w:val="1"/>
              </w:rPr>
              <w:t xml:space="preserve">Livrer sa patrie à l'ennemi dans l'Antiquité</w:t>
            </w:r>
            <w:r>
              <w:rPr/>
              <w:t xml:space="preserve">, pp.5-12, 2023, Héritages méditerranéens</w:t>
            </w:r>
          </w:p>
          <w:p>
            <w:pPr/>
            <w:r>
              <w:rPr/>
              <w:t xml:space="preserve">Chapitre d'ouvrage</w:t>
            </w:r>
          </w:p>
          <w:p>
            <w:pPr/>
            <w:hyperlink r:id="rId12" w:history="1">
              <w:r>
                <w:rPr>
                  <w:color w:val="#410a8c"/>
                  <w:u w:val="single"/>
                </w:rPr>
                <w:t xml:space="preserve">hal-04349254v1</w:t>
              </w:r>
            </w:hyperlink>
          </w:p>
        </w:tc>
      </w:tr>
      <w:tr>
        <w:trPr/>
        <w:tc>
          <w:tcPr>
            <w:noWrap/>
          </w:tcPr>
          <w:p>
            <w:pPr>
              <w:spacing w:after="200"/>
            </w:pPr>
            <w:hyperlink r:id="rId14" w:history="1">
              <w:r>
                <w:rPr>
                  <w:color w:val="1e198e"/>
                  <w:b w:val="1"/>
                  <w:bCs w:val="1"/>
                  <w:u w:val="single"/>
                </w:rPr>
                <w:t xml:space="preserve">Conclusions. Livrer sa patrie à l'ennemi, un fléau communautaire favorisé par l'organisation civique ?</w:t>
              </w:r>
            </w:hyperlink>
          </w:p>
          <w:p>
            <w:pPr/>
            <w:hyperlink r:id="rId10" w:history="1">
              <w:r>
                <w:rPr>
                  <w:color w:val="#410a8c"/>
                  <w:u w:val="single"/>
                </w:rPr>
                <w:t xml:space="preserve">Romain Millot</w:t>
              </w:r>
            </w:hyperlink>
            <w:r>
              <w:rPr/>
              <w:t xml:space="preserve">,</w:t>
            </w:r>
            <w:hyperlink r:id="rId13" w:history="1">
              <w:r>
                <w:rPr>
                  <w:color w:val="#410a8c"/>
                  <w:u w:val="single"/>
                </w:rPr>
                <w:t xml:space="preserve">Mathieu Engerbeaud</w:t>
              </w:r>
            </w:hyperlink>
          </w:p>
          <w:p>
            <w:pPr/>
            <w:r>
              <w:rPr/>
              <w:t xml:space="preserve">Presses Universitaires de Provence. </w:t>
            </w:r>
            <w:r>
              <w:rPr>
                <w:i w:val="1"/>
                <w:iCs w:val="1"/>
              </w:rPr>
              <w:t xml:space="preserve">Livrer sa patrie à l'ennemi dans l'Antiquité</w:t>
            </w:r>
            <w:r>
              <w:rPr/>
              <w:t xml:space="preserve">, pp.289-296, 2023, Héritages méditerranéens</w:t>
            </w:r>
          </w:p>
          <w:p>
            <w:pPr/>
            <w:r>
              <w:rPr/>
              <w:t xml:space="preserve">Chapitre d'ouvrage</w:t>
            </w:r>
          </w:p>
          <w:p>
            <w:pPr/>
            <w:hyperlink r:id="rId14" w:history="1">
              <w:r>
                <w:rPr>
                  <w:color w:val="#410a8c"/>
                  <w:u w:val="single"/>
                </w:rPr>
                <w:t xml:space="preserve">hal-04349261v1</w:t>
              </w:r>
            </w:hyperlink>
          </w:p>
        </w:tc>
      </w:tr>
      <w:tr>
        <w:trPr/>
        <w:tc>
          <w:tcPr>
            <w:noWrap/>
          </w:tcPr>
          <w:p>
            <w:pPr>
              <w:spacing w:after="200"/>
            </w:pPr>
            <w:hyperlink r:id="rId15" w:history="1">
              <w:r>
                <w:rPr>
                  <w:color w:val="1e198e"/>
                  <w:b w:val="1"/>
                  <w:bCs w:val="1"/>
                  <w:u w:val="single"/>
                </w:rPr>
                <w:t xml:space="preserve">« M. Livius Drusus fut-il un traître ? »</w:t>
              </w:r>
            </w:hyperlink>
          </w:p>
          <w:p>
            <w:pPr/>
            <w:hyperlink r:id="rId10" w:history="1">
              <w:r>
                <w:rPr>
                  <w:color w:val="#410a8c"/>
                  <w:u w:val="single"/>
                </w:rPr>
                <w:t xml:space="preserve">Romain Millot</w:t>
              </w:r>
            </w:hyperlink>
          </w:p>
          <w:p>
            <w:pPr/>
            <w:r>
              <w:rPr>
                <w:i w:val="1"/>
                <w:iCs w:val="1"/>
              </w:rPr>
              <w:t xml:space="preserve">Engerbeaud (M.) &amp; Millot (R.) (dir.), Livrer sa patrie à l’ennemi dans l’Antiquité</w:t>
            </w:r>
            <w:r>
              <w:rPr/>
              <w:t xml:space="preserve">, Presse Universitaires de Provence, pp.149-165, 2023, 9791032004555</w:t>
            </w:r>
          </w:p>
          <w:p>
            <w:pPr/>
            <w:r>
              <w:rPr/>
              <w:t xml:space="preserve">Chapitre d'ouvrage</w:t>
            </w:r>
          </w:p>
          <w:p>
            <w:pPr/>
            <w:hyperlink r:id="rId15" w:history="1">
              <w:r>
                <w:rPr>
                  <w:color w:val="#410a8c"/>
                  <w:u w:val="single"/>
                </w:rPr>
                <w:t xml:space="preserve">hal-04667614v1</w:t>
              </w:r>
            </w:hyperlink>
          </w:p>
        </w:tc>
      </w:tr>
      <w:tr>
        <w:trPr/>
        <w:tc>
          <w:tcPr>
            <w:noWrap/>
          </w:tcPr>
          <w:p>
            <w:pPr>
              <w:spacing w:after="200"/>
            </w:pPr>
            <w:hyperlink r:id="rId16" w:history="1">
              <w:r>
                <w:rPr>
                  <w:color w:val="1e198e"/>
                  <w:b w:val="1"/>
                  <w:bCs w:val="1"/>
                  <w:u w:val="single"/>
                </w:rPr>
                <w:t xml:space="preserve">« Le conspirateur sous la République : conception, utilisation et influence d’un stéréotype dans la culture politique romaine »</w:t>
              </w:r>
            </w:hyperlink>
          </w:p>
          <w:p>
            <w:pPr/>
            <w:hyperlink r:id="rId10" w:history="1">
              <w:r>
                <w:rPr>
                  <w:color w:val="#410a8c"/>
                  <w:u w:val="single"/>
                </w:rPr>
                <w:t xml:space="preserve">Romain Millot</w:t>
              </w:r>
            </w:hyperlink>
          </w:p>
          <w:p>
            <w:pPr/>
            <w:r>
              <w:rPr/>
              <w:t xml:space="preserve">Hélène Ménard; Cyril Courrier. </w:t>
            </w:r>
            <w:r>
              <w:rPr>
                <w:i w:val="1"/>
                <w:iCs w:val="1"/>
              </w:rPr>
              <w:t xml:space="preserve">Miroir des autres, reflet de soi (vol. 2) : stéréotypes, politique et société dans le monde romain</w:t>
            </w:r>
            <w:r>
              <w:rPr/>
              <w:t xml:space="preserve">, Michel Houdiard, p. 144-168., 2013, L'Atelier des sciences humaines et sociales</w:t>
            </w:r>
          </w:p>
          <w:p>
            <w:pPr/>
            <w:r>
              <w:rPr/>
              <w:t xml:space="preserve">Chapitre d'ouvrage</w:t>
            </w:r>
          </w:p>
          <w:p>
            <w:pPr/>
            <w:hyperlink r:id="rId16" w:history="1">
              <w:r>
                <w:rPr>
                  <w:color w:val="#410a8c"/>
                  <w:u w:val="single"/>
                </w:rPr>
                <w:t xml:space="preserve">hal-03655618v1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Derrière le voile du pouvoir</w:t>
              </w:r>
            </w:hyperlink>
          </w:p>
          <w:p>
            <w:pPr/>
            <w:hyperlink r:id="rId9" w:history="1">
              <w:r>
                <w:rPr>
                  <w:color w:val="#410a8c"/>
                  <w:u w:val="single"/>
                </w:rPr>
                <w:t xml:space="preserve">Louis Autin</w:t>
              </w:r>
            </w:hyperlink>
            <w:r>
              <w:rPr/>
              <w:t xml:space="preserve">,</w:t>
            </w:r>
            <w:hyperlink r:id="rId10" w:history="1">
              <w:r>
                <w:rPr>
                  <w:color w:val="#410a8c"/>
                  <w:u w:val="single"/>
                </w:rPr>
                <w:t xml:space="preserve">Romain Millot</w:t>
              </w:r>
            </w:hyperlink>
          </w:p>
          <w:p>
            <w:pPr/>
            <w:r>
              <w:rPr/>
              <w:t xml:space="preserve">UGA éditions, 2025, Lire l'Antiquité, Malika Bastin; Florian Barrière, 978-2-37747-531-5</w:t>
            </w:r>
          </w:p>
          <w:p>
            <w:pPr/>
            <w:r>
              <w:rPr/>
              <w:t xml:space="preserve">Ouvrages</w:t>
            </w:r>
          </w:p>
          <w:p>
            <w:pPr/>
            <w:hyperlink r:id="rId17" w:history="1">
              <w:r>
                <w:rPr>
                  <w:color w:val="#410a8c"/>
                  <w:u w:val="single"/>
                </w:rPr>
                <w:t xml:space="preserve">hal-05272071v1</w:t>
              </w:r>
            </w:hyperlink>
          </w:p>
        </w:tc>
      </w:tr>
      <w:tr>
        <w:trPr/>
        <w:tc>
          <w:tcPr>
            <w:noWrap/>
          </w:tcPr>
          <w:p>
            <w:pPr>
              <w:spacing w:after="200"/>
            </w:pPr>
            <w:hyperlink r:id="rId18" w:history="1">
              <w:r>
                <w:rPr>
                  <w:color w:val="1e198e"/>
                  <w:b w:val="1"/>
                  <w:bCs w:val="1"/>
                  <w:u w:val="single"/>
                </w:rPr>
                <w:t xml:space="preserve">Livrer sa patrie à l'ennemi dans l'Antiquité</w:t>
              </w:r>
            </w:hyperlink>
          </w:p>
          <w:p>
            <w:pPr/>
            <w:hyperlink r:id="rId13" w:history="1">
              <w:r>
                <w:rPr>
                  <w:color w:val="#410a8c"/>
                  <w:u w:val="single"/>
                </w:rPr>
                <w:t xml:space="preserve">Mathieu Engerbeaud</w:t>
              </w:r>
            </w:hyperlink>
            <w:r>
              <w:rPr/>
              <w:t xml:space="preserve">,</w:t>
            </w:r>
            <w:hyperlink r:id="rId10" w:history="1">
              <w:r>
                <w:rPr>
                  <w:color w:val="#410a8c"/>
                  <w:u w:val="single"/>
                </w:rPr>
                <w:t xml:space="preserve">Romain Millot</w:t>
              </w:r>
            </w:hyperlink>
          </w:p>
          <w:p>
            <w:pPr/>
            <w:r>
              <w:rPr/>
              <w:t xml:space="preserve">Presses Universitaires de Provence. 2023, Héritages méditerranéens, 9791032004555</w:t>
            </w:r>
          </w:p>
          <w:p>
            <w:pPr/>
            <w:r>
              <w:rPr/>
              <w:t xml:space="preserve">Ouvrages</w:t>
            </w:r>
          </w:p>
          <w:p>
            <w:pPr/>
            <w:hyperlink r:id="rId18" w:history="1">
              <w:r>
                <w:rPr>
                  <w:color w:val="#410a8c"/>
                  <w:u w:val="single"/>
                </w:rPr>
                <w:t xml:space="preserve">hal-04349240v1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Compte rendu de Kefallonitis (St.) (dir.), Dette et politique, Besançon, Presses universitaires de Franche-Comté, 2022, 268 p., Vita Latina, n°203, 2023, p. 206-207.</w:t>
              </w:r>
            </w:hyperlink>
          </w:p>
          <w:p>
            <w:pPr/>
            <w:hyperlink r:id="rId10" w:history="1">
              <w:r>
                <w:rPr>
                  <w:color w:val="#410a8c"/>
                  <w:u w:val="single"/>
                </w:rPr>
                <w:t xml:space="preserve">Romain Millot</w:t>
              </w:r>
            </w:hyperlink>
          </w:p>
          <w:p>
            <w:pPr/>
            <w:r>
              <w:rPr/>
              <w:t xml:space="preserve">2023</w:t>
            </w:r>
          </w:p>
          <w:p>
            <w:pPr/>
            <w:r>
              <w:rPr/>
              <w:t xml:space="preserve">Autre publication scientifique</w:t>
            </w:r>
          </w:p>
          <w:p>
            <w:pPr/>
            <w:hyperlink r:id="rId19" w:history="1">
              <w:r>
                <w:rPr>
                  <w:color w:val="#410a8c"/>
                  <w:u w:val="single"/>
                </w:rPr>
                <w:t xml:space="preserve">hal-04925811v1</w:t>
              </w:r>
            </w:hyperlink>
          </w:p>
        </w:tc>
      </w:tr>
      <w:tr>
        <w:trPr/>
        <w:tc>
          <w:tcPr>
            <w:noWrap/>
          </w:tcPr>
          <w:p>
            <w:pPr>
              <w:spacing w:after="200"/>
            </w:pPr>
            <w:hyperlink r:id="rId20" w:history="1">
              <w:r>
                <w:rPr>
                  <w:color w:val="1e198e"/>
                  <w:b w:val="1"/>
                  <w:bCs w:val="1"/>
                  <w:u w:val="single"/>
                </w:rPr>
                <w:t xml:space="preserve">Compte rendu de Benoist (St.) (dir.), Une République impériale en question ?, DHA, Supplément 24, Besançon, 2021, 276 p., Revue des Études Anciennes, n°124/2, 2022</w:t>
              </w:r>
            </w:hyperlink>
          </w:p>
          <w:p>
            <w:pPr/>
            <w:hyperlink r:id="rId10" w:history="1">
              <w:r>
                <w:rPr>
                  <w:color w:val="#410a8c"/>
                  <w:u w:val="single"/>
                </w:rPr>
                <w:t xml:space="preserve">Romain Millot</w:t>
              </w:r>
            </w:hyperlink>
          </w:p>
          <w:p>
            <w:pPr/>
            <w:r>
              <w:rPr/>
              <w:t xml:space="preserve">2022</w:t>
            </w:r>
          </w:p>
          <w:p>
            <w:pPr/>
            <w:r>
              <w:rPr/>
              <w:t xml:space="preserve">Autre publication scientifique</w:t>
            </w:r>
          </w:p>
          <w:p>
            <w:pPr/>
            <w:hyperlink r:id="rId20" w:history="1">
              <w:r>
                <w:rPr>
                  <w:color w:val="#410a8c"/>
                  <w:u w:val="single"/>
                </w:rPr>
                <w:t xml:space="preserve">hal-04925812v1</w:t>
              </w:r>
            </w:hyperlink>
          </w:p>
        </w:tc>
      </w:tr>
      <w:tr>
        <w:trPr/>
        <w:tc>
          <w:tcPr>
            <w:noWrap/>
          </w:tcPr>
          <w:p>
            <w:pPr>
              <w:spacing w:after="200"/>
            </w:pPr>
            <w:hyperlink r:id="rId21" w:history="1">
              <w:r>
                <w:rPr>
                  <w:color w:val="1e198e"/>
                  <w:b w:val="1"/>
                  <w:bCs w:val="1"/>
                  <w:u w:val="single"/>
                </w:rPr>
                <w:t xml:space="preserve">Compte rendu de David (J.-M.) &amp; Hurlet (Fr.) (éd.), L’auctoritas à Rome. Une notion constitutive de la culture politique, Bordeaux, Ausonius, 2020, Revue des Études Anciennes, n°123/2, 2021, p. 717-722.</w:t>
              </w:r>
            </w:hyperlink>
          </w:p>
          <w:p>
            <w:pPr/>
            <w:hyperlink r:id="rId10" w:history="1">
              <w:r>
                <w:rPr>
                  <w:color w:val="#410a8c"/>
                  <w:u w:val="single"/>
                </w:rPr>
                <w:t xml:space="preserve">Romain Millot</w:t>
              </w:r>
            </w:hyperlink>
          </w:p>
          <w:p>
            <w:pPr/>
            <w:r>
              <w:rPr/>
              <w:t xml:space="preserve">2021</w:t>
            </w:r>
          </w:p>
          <w:p>
            <w:pPr/>
            <w:r>
              <w:rPr/>
              <w:t xml:space="preserve">Autre publication scientifique</w:t>
            </w:r>
          </w:p>
          <w:p>
            <w:pPr/>
            <w:hyperlink r:id="rId21" w:history="1">
              <w:r>
                <w:rPr>
                  <w:color w:val="#410a8c"/>
                  <w:u w:val="single"/>
                </w:rPr>
                <w:t xml:space="preserve">hal-04925814v1</w:t>
              </w:r>
            </w:hyperlink>
          </w:p>
        </w:tc>
      </w:tr>
      <w:tr>
        <w:trPr/>
        <w:tc>
          <w:tcPr>
            <w:noWrap/>
          </w:tcPr>
          <w:p>
            <w:pPr>
              <w:spacing w:after="200"/>
            </w:pPr>
            <w:hyperlink r:id="rId22" w:history="1">
              <w:r>
                <w:rPr>
                  <w:color w:val="1e198e"/>
                  <w:b w:val="1"/>
                  <w:bCs w:val="1"/>
                  <w:u w:val="single"/>
                </w:rPr>
                <w:t xml:space="preserve">Compte rendu de Prim (J.), Aventinus mons. Limites, fonctions urbaines et représentations politiques d’une colline dans la Rome antique, Rome, Collection de l’École française de Rome, 2021, en ligne sur le site de la revue Histoire Urbaine (SFHU). https://sfhu.hypotheses.org/6549</w:t>
              </w:r>
            </w:hyperlink>
          </w:p>
          <w:p>
            <w:pPr/>
            <w:hyperlink r:id="rId10" w:history="1">
              <w:r>
                <w:rPr>
                  <w:color w:val="#410a8c"/>
                  <w:u w:val="single"/>
                </w:rPr>
                <w:t xml:space="preserve">Romain Millot</w:t>
              </w:r>
            </w:hyperlink>
          </w:p>
          <w:p>
            <w:pPr/>
            <w:r>
              <w:rPr/>
              <w:t xml:space="preserve">2021</w:t>
            </w:r>
          </w:p>
          <w:p>
            <w:pPr/>
            <w:r>
              <w:rPr/>
              <w:t xml:space="preserve">Autre publication scientifique</w:t>
            </w:r>
          </w:p>
          <w:p>
            <w:pPr/>
            <w:hyperlink r:id="rId22" w:history="1">
              <w:r>
                <w:rPr>
                  <w:color w:val="#410a8c"/>
                  <w:u w:val="single"/>
                </w:rPr>
                <w:t xml:space="preserve">hal-04925816v1</w:t>
              </w:r>
            </w:hyperlink>
          </w:p>
        </w:tc>
      </w:tr>
      <w:tr>
        <w:trPr/>
        <w:tc>
          <w:tcPr>
            <w:noWrap/>
          </w:tcPr>
          <w:p>
            <w:pPr>
              <w:spacing w:after="200"/>
            </w:pPr>
            <w:hyperlink r:id="rId23" w:history="1">
              <w:r>
                <w:rPr>
                  <w:color w:val="1e198e"/>
                  <w:b w:val="1"/>
                  <w:bCs w:val="1"/>
                  <w:u w:val="single"/>
                </w:rPr>
                <w:t xml:space="preserve">Compte rendu de Beard (M.), SPQR. Histoire de l’ancienne Rome, Paris, 2016</w:t>
              </w:r>
            </w:hyperlink>
          </w:p>
          <w:p>
            <w:pPr/>
            <w:hyperlink r:id="rId24" w:history="1">
              <w:r>
                <w:rPr>
                  <w:color w:val="#410a8c"/>
                  <w:u w:val="single"/>
                </w:rPr>
                <w:t xml:space="preserve">Pascal Montlahuc</w:t>
              </w:r>
            </w:hyperlink>
            <w:r>
              <w:rPr/>
              <w:t xml:space="preserve">,</w:t>
            </w:r>
            <w:hyperlink r:id="rId10" w:history="1">
              <w:r>
                <w:rPr>
                  <w:color w:val="#410a8c"/>
                  <w:u w:val="single"/>
                </w:rPr>
                <w:t xml:space="preserve">Romain Millot</w:t>
              </w:r>
            </w:hyperlink>
          </w:p>
          <w:p>
            <w:pPr/>
            <w:r>
              <w:rPr/>
              <w:t xml:space="preserve">2017, https://reainfo.hypotheses.org/7504</w:t>
            </w:r>
          </w:p>
          <w:p>
            <w:pPr/>
            <w:r>
              <w:rPr/>
              <w:t xml:space="preserve">Autre publication scientifique</w:t>
            </w:r>
          </w:p>
          <w:p>
            <w:pPr/>
            <w:hyperlink r:id="rId23" w:history="1">
              <w:r>
                <w:rPr>
                  <w:color w:val="#410a8c"/>
                  <w:u w:val="single"/>
                </w:rPr>
                <w:t xml:space="preserve">halshs-01591341v1</w:t>
              </w:r>
            </w:hyperlink>
          </w:p>
        </w:tc>
      </w:tr>
      <w:tr>
        <w:trPr/>
        <w:tc>
          <w:tcPr>
            <w:noWrap/>
          </w:tcPr>
          <w:p>
            <w:pPr>
              <w:spacing w:after="200"/>
            </w:pPr>
            <w:hyperlink r:id="rId25" w:history="1">
              <w:r>
                <w:rPr>
                  <w:color w:val="1e198e"/>
                  <w:b w:val="1"/>
                  <w:bCs w:val="1"/>
                  <w:u w:val="single"/>
                </w:rPr>
                <w:t xml:space="preserve">Compte rendu de Francis Galassi, Catiline, the monster of Rome, an ancient case of political assassination, Yardley, Westholme, 2014</w:t>
              </w:r>
            </w:hyperlink>
          </w:p>
          <w:p>
            <w:pPr/>
            <w:hyperlink r:id="rId10" w:history="1">
              <w:r>
                <w:rPr>
                  <w:color w:val="#410a8c"/>
                  <w:u w:val="single"/>
                </w:rPr>
                <w:t xml:space="preserve">Romain Millot</w:t>
              </w:r>
            </w:hyperlink>
          </w:p>
          <w:p>
            <w:pPr/>
            <w:r>
              <w:rPr/>
              <w:t xml:space="preserve">2015</w:t>
            </w:r>
          </w:p>
          <w:p>
            <w:pPr/>
            <w:r>
              <w:rPr/>
              <w:t xml:space="preserve">Autre publication scientifique</w:t>
            </w:r>
          </w:p>
          <w:p>
            <w:pPr/>
            <w:hyperlink r:id="rId25" w:history="1">
              <w:r>
                <w:rPr>
                  <w:color w:val="#410a8c"/>
                  <w:u w:val="single"/>
                </w:rPr>
                <w:t xml:space="preserve">hal-01479929v1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Résumé de thèse : &amp;quot;La conspiration sous la République romaine. Pratiques politiques, représentations et imaginaire social (509-44 a.C.)</w:t>
              </w:r>
            </w:hyperlink>
          </w:p>
          <w:p>
            <w:pPr/>
            <w:hyperlink r:id="rId10" w:history="1">
              <w:r>
                <w:rPr>
                  <w:color w:val="#410a8c"/>
                  <w:u w:val="single"/>
                </w:rPr>
                <w:t xml:space="preserve">Romain Millot</w:t>
              </w:r>
            </w:hyperlink>
          </w:p>
          <w:p>
            <w:pPr/>
            <w:r>
              <w:rPr>
                <w:i w:val="1"/>
                <w:iCs w:val="1"/>
              </w:rPr>
              <w:t xml:space="preserve">Encyclo. Revue de l'école doctorale Sciences des Sociétés ED 624</w:t>
            </w:r>
            <w:r>
              <w:rPr/>
              <w:t xml:space="preserve">, 2022, 12, pp.217-226</w:t>
            </w:r>
          </w:p>
          <w:p>
            <w:pPr/>
            <w:r>
              <w:rPr/>
              <w:t xml:space="preserve">Article dans une revue</w:t>
            </w:r>
          </w:p>
          <w:p>
            <w:pPr/>
            <w:hyperlink r:id="rId26" w:history="1">
              <w:r>
                <w:rPr>
                  <w:color w:val="#410a8c"/>
                  <w:u w:val="single"/>
                </w:rPr>
                <w:t xml:space="preserve">hal-03986300v1</w:t>
              </w:r>
            </w:hyperlink>
          </w:p>
        </w:tc>
      </w:tr>
      <w:tr>
        <w:trPr/>
        <w:tc>
          <w:tcPr>
            <w:noWrap/>
          </w:tcPr>
          <w:p>
            <w:pPr>
              <w:spacing w:after="200"/>
            </w:pPr>
            <w:hyperlink r:id="rId27" w:history="1">
              <w:r>
                <w:rPr>
                  <w:color w:val="1e198e"/>
                  <w:b w:val="1"/>
                  <w:bCs w:val="1"/>
                  <w:u w:val="single"/>
                </w:rPr>
                <w:t xml:space="preserve">« Un péril jeune ? La iuventus dans les récits de conjuration sous la République romaine »</w:t>
              </w:r>
            </w:hyperlink>
          </w:p>
          <w:p>
            <w:pPr/>
            <w:hyperlink r:id="rId10" w:history="1">
              <w:r>
                <w:rPr>
                  <w:color w:val="#410a8c"/>
                  <w:u w:val="single"/>
                </w:rPr>
                <w:t xml:space="preserve">Romain Millot</w:t>
              </w:r>
            </w:hyperlink>
          </w:p>
          <w:p>
            <w:pPr/>
            <w:r>
              <w:rPr>
                <w:i w:val="1"/>
                <w:iCs w:val="1"/>
              </w:rPr>
              <w:t xml:space="preserve">Hypothèses</w:t>
            </w:r>
            <w:r>
              <w:rPr/>
              <w:t xml:space="preserve">, 2021, 22, p. 27-37. </w:t>
            </w:r>
            <w:hyperlink r:id="rId28" w:history="1">
              <w:r>
                <w:rPr>
                  <w:color w:val="#410a8c"/>
                  <w:u w:val="single"/>
                </w:rPr>
                <w:t xml:space="preserve">⟨10.3917/hyp.181.0027⟩</w:t>
              </w:r>
            </w:hyperlink>
          </w:p>
          <w:p>
            <w:pPr/>
            <w:r>
              <w:rPr/>
              <w:t xml:space="preserve">Article dans une revue</w:t>
            </w:r>
          </w:p>
          <w:p>
            <w:pPr/>
            <w:hyperlink r:id="rId27" w:history="1">
              <w:r>
                <w:rPr>
                  <w:color w:val="#410a8c"/>
                  <w:u w:val="single"/>
                </w:rPr>
                <w:t xml:space="preserve">hal-03655629v1</w:t>
              </w:r>
            </w:hyperlink>
          </w:p>
        </w:tc>
      </w:tr>
      <w:tr>
        <w:trPr/>
        <w:tc>
          <w:tcPr>
            <w:noWrap/>
          </w:tcPr>
          <w:p>
            <w:pPr>
              <w:spacing w:after="200"/>
            </w:pPr>
            <w:hyperlink r:id="rId29" w:history="1">
              <w:r>
                <w:rPr>
                  <w:color w:val="1e198e"/>
                  <w:b w:val="1"/>
                  <w:bCs w:val="1"/>
                  <w:u w:val="single"/>
                </w:rPr>
                <w:t xml:space="preserve">« Complot au Carcer : un nouveau regard sur l’affaire Pleminius (204-194 a.C.) »</w:t>
              </w:r>
            </w:hyperlink>
          </w:p>
          <w:p>
            <w:pPr/>
            <w:hyperlink r:id="rId10" w:history="1">
              <w:r>
                <w:rPr>
                  <w:color w:val="#410a8c"/>
                  <w:u w:val="single"/>
                </w:rPr>
                <w:t xml:space="preserve">Romain Millot</w:t>
              </w:r>
            </w:hyperlink>
          </w:p>
          <w:p>
            <w:pPr/>
            <w:r>
              <w:rPr>
                <w:i w:val="1"/>
                <w:iCs w:val="1"/>
              </w:rPr>
              <w:t xml:space="preserve">Dialogues d'histoire ancienne</w:t>
            </w:r>
            <w:r>
              <w:rPr/>
              <w:t xml:space="preserve">, 2019, 45 (1), p. 89-110</w:t>
            </w:r>
          </w:p>
          <w:p>
            <w:pPr/>
            <w:r>
              <w:rPr/>
              <w:t xml:space="preserve">Article dans une revue</w:t>
            </w:r>
          </w:p>
          <w:p>
            <w:pPr/>
            <w:hyperlink r:id="rId29" w:history="1">
              <w:r>
                <w:rPr>
                  <w:color w:val="#410a8c"/>
                  <w:u w:val="single"/>
                </w:rPr>
                <w:t xml:space="preserve">hal-03655626v1</w:t>
              </w:r>
            </w:hyperlink>
          </w:p>
        </w:tc>
      </w:tr>
      <w:tr>
        <w:trPr/>
        <w:tc>
          <w:tcPr>
            <w:noWrap/>
          </w:tcPr>
          <w:p>
            <w:pPr>
              <w:spacing w:after="200"/>
            </w:pPr>
            <w:hyperlink r:id="rId30" w:history="1">
              <w:r>
                <w:rPr>
                  <w:color w:val="1e198e"/>
                  <w:b w:val="1"/>
                  <w:bCs w:val="1"/>
                  <w:u w:val="single"/>
                </w:rPr>
                <w:t xml:space="preserve">« Catilina, pour combien de temps encore ? Actualités bibliographiques sur un conspirateur trop connu »</w:t>
              </w:r>
            </w:hyperlink>
          </w:p>
          <w:p>
            <w:pPr/>
            <w:hyperlink r:id="rId10" w:history="1">
              <w:r>
                <w:rPr>
                  <w:color w:val="#410a8c"/>
                  <w:u w:val="single"/>
                </w:rPr>
                <w:t xml:space="preserve">Romain Millot</w:t>
              </w:r>
            </w:hyperlink>
          </w:p>
          <w:p>
            <w:pPr/>
            <w:r>
              <w:rPr>
                <w:i w:val="1"/>
                <w:iCs w:val="1"/>
              </w:rPr>
              <w:t xml:space="preserve">Anabases - Traditions et réceptions de l’Antiquité</w:t>
            </w:r>
            <w:r>
              <w:rPr/>
              <w:t xml:space="preserve">, 2017, 25, p. 111-136. </w:t>
            </w:r>
            <w:hyperlink r:id="rId31" w:history="1">
              <w:r>
                <w:rPr>
                  <w:color w:val="#410a8c"/>
                  <w:u w:val="single"/>
                </w:rPr>
                <w:t xml:space="preserve">⟨10.4000/anabases.6054⟩</w:t>
              </w:r>
            </w:hyperlink>
          </w:p>
          <w:p>
            <w:pPr/>
            <w:r>
              <w:rPr/>
              <w:t xml:space="preserve">Article dans une revue</w:t>
            </w:r>
          </w:p>
          <w:p>
            <w:pPr/>
            <w:hyperlink r:id="rId30" w:history="1">
              <w:r>
                <w:rPr>
                  <w:color w:val="#410a8c"/>
                  <w:u w:val="single"/>
                </w:rPr>
                <w:t xml:space="preserve">hal-03655622v1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72091v1" TargetMode="External"/><Relationship Id="rId9" Type="http://schemas.openxmlformats.org/officeDocument/2006/relationships/hyperlink" Target="https://hal.science/search/index/?q=*&amp;authFullName_s=Louis Autin" TargetMode="External"/><Relationship Id="rId10" Type="http://schemas.openxmlformats.org/officeDocument/2006/relationships/hyperlink" Target="https://hal.science/search/index/?q=*&amp;authFullName_s=Romain Millot" TargetMode="External"/><Relationship Id="rId11" Type="http://schemas.openxmlformats.org/officeDocument/2006/relationships/hyperlink" Target="https://hal.science/hal-05272102v1" TargetMode="External"/><Relationship Id="rId12" Type="http://schemas.openxmlformats.org/officeDocument/2006/relationships/hyperlink" Target="https://hal.science/hal-04349254v1" TargetMode="External"/><Relationship Id="rId13" Type="http://schemas.openxmlformats.org/officeDocument/2006/relationships/hyperlink" Target="https://hal.science/search/index/?q=*&amp;authFullName_s=Mathieu Engerbeaud" TargetMode="External"/><Relationship Id="rId14" Type="http://schemas.openxmlformats.org/officeDocument/2006/relationships/hyperlink" Target="https://hal.science/hal-04349261v1" TargetMode="External"/><Relationship Id="rId15" Type="http://schemas.openxmlformats.org/officeDocument/2006/relationships/hyperlink" Target="https://hal.science/hal-04667614v1" TargetMode="External"/><Relationship Id="rId16" Type="http://schemas.openxmlformats.org/officeDocument/2006/relationships/hyperlink" Target="https://hal.science/hal-03655618v1" TargetMode="External"/><Relationship Id="rId17" Type="http://schemas.openxmlformats.org/officeDocument/2006/relationships/hyperlink" Target="https://hal.science/hal-05272071v1" TargetMode="External"/><Relationship Id="rId18" Type="http://schemas.openxmlformats.org/officeDocument/2006/relationships/hyperlink" Target="https://hal.science/hal-04349240v1" TargetMode="External"/><Relationship Id="rId19" Type="http://schemas.openxmlformats.org/officeDocument/2006/relationships/hyperlink" Target="https://hal.science/hal-04925811v1" TargetMode="External"/><Relationship Id="rId20" Type="http://schemas.openxmlformats.org/officeDocument/2006/relationships/hyperlink" Target="https://hal.science/hal-04925812v1" TargetMode="External"/><Relationship Id="rId21" Type="http://schemas.openxmlformats.org/officeDocument/2006/relationships/hyperlink" Target="https://hal.science/hal-04925814v1" TargetMode="External"/><Relationship Id="rId22" Type="http://schemas.openxmlformats.org/officeDocument/2006/relationships/hyperlink" Target="https://hal.science/hal-04925816v1" TargetMode="External"/><Relationship Id="rId23" Type="http://schemas.openxmlformats.org/officeDocument/2006/relationships/hyperlink" Target="https://shs.hal.science/halshs-01591341v1" TargetMode="External"/><Relationship Id="rId24" Type="http://schemas.openxmlformats.org/officeDocument/2006/relationships/hyperlink" Target="https://hal.science/search/index/?q=*&amp;authFullName_s=Pascal Montlahuc" TargetMode="External"/><Relationship Id="rId25" Type="http://schemas.openxmlformats.org/officeDocument/2006/relationships/hyperlink" Target="https://hal.science/hal-01479929v1" TargetMode="External"/><Relationship Id="rId26" Type="http://schemas.openxmlformats.org/officeDocument/2006/relationships/hyperlink" Target="https://hal.science/hal-03986300v1" TargetMode="External"/><Relationship Id="rId27" Type="http://schemas.openxmlformats.org/officeDocument/2006/relationships/hyperlink" Target="https://hal.science/hal-03655629v1" TargetMode="External"/><Relationship Id="rId28" Type="http://schemas.openxmlformats.org/officeDocument/2006/relationships/hyperlink" Target="https://dx.doi.org/10.3917/hyp.181.0027" TargetMode="External"/><Relationship Id="rId29" Type="http://schemas.openxmlformats.org/officeDocument/2006/relationships/hyperlink" Target="https://hal.science/hal-03655626v1" TargetMode="External"/><Relationship Id="rId30" Type="http://schemas.openxmlformats.org/officeDocument/2006/relationships/hyperlink" Target="https://hal.science/hal-03655622v1" TargetMode="External"/><Relationship Id="rId31" Type="http://schemas.openxmlformats.org/officeDocument/2006/relationships/hyperlink" Target="https://dx.doi.org/10.4000/anabases.6054"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Millot</dc:title>
  <dc:description>CV</dc:description>
  <dc:subject/>
  <cp:keywords/>
  <cp:category/>
  <cp:lastModifiedBy/>
  <dcterms:created xsi:type="dcterms:W3CDTF">2026-05-16T06:34:05+02:00</dcterms:created>
  <dcterms:modified xsi:type="dcterms:W3CDTF">2026-05-16T06:34:05+02:00</dcterms:modified>
</cp:coreProperties>
</file>

<file path=docProps/custom.xml><?xml version="1.0" encoding="utf-8"?>
<Properties xmlns="http://schemas.openxmlformats.org/officeDocument/2006/custom-properties" xmlns:vt="http://schemas.openxmlformats.org/officeDocument/2006/docPropsVTypes"/>
</file>