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Mohammad Naim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Mohammad Naim mène des recherches interdisciplinaires à l’interface des sciences agricoles et des sciences de gestion. Il participe actuellement au projet de recherche français </w:t>
      </w:r>
      <w:r>
        <w:rPr>
          <w:b w:val="1"/>
          <w:bCs w:val="1"/>
        </w:rPr>
        <w:t xml:space="preserve">NINSAR</w:t>
      </w:r>
      <w:r>
        <w:rPr/>
        <w:t xml:space="preserve"> et a publié plusieurs articles scientifiques dans des revues à comité de lecture. Ses travaux portent sur le développement de solutions innovantes, durables et basées sur la technologie pour des systèmes de production et socio-techniques complexes.</w:t>
      </w:r>
    </w:p>
    <w:p>
      <w:pPr/>
      <w:r>
        <w:rPr/>
        <w:t xml:space="preserve">Ses activités de recherche sont structurées autour de trois axes principaux :</w:t>
      </w:r>
    </w:p>
    <w:p>
      <w:pPr/>
      <w:r>
        <w:rPr>
          <w:b w:val="1"/>
          <w:bCs w:val="1"/>
        </w:rPr>
        <w:t xml:space="preserve">Axe de recherche 1 : Faire progresser les systèmes agricoles durables grâce aux technologies de précision, aux approches agroécologiques et à la biotechnologie végétale</w:t>
      </w:r>
    </w:p>
    <w:p>
      <w:pPr/>
      <w:r>
        <w:rPr/>
        <w:t xml:space="preserve">Cet axe réunit des approches technologiques, biologiques et systémiques appliquées aux systèmes agricoles. Il se concentre sur l’agriculture de précision et l’ingénierie agricole, y compris l’utilisation d’outils numériques, de technologies de détection et de systèmes d’aide à la décision basés sur les données pour optimiser l’utilisation des ressources et la performance des systèmes. Parallèlement, il intègre les principes agroécologiques et les cadres d’évaluation de la durabilité afin d’analyser les impacts environnementaux, économiques et sociaux des systèmes de production. Cet axe reflète également un fort intérêt pour la biotechnologie végétale et la modification génétique des plantes, notamment pour améliorer la performance, la résilience et l’adaptation des plantes aux contraintes environnementales. Dans l’ensemble, cet axe vise à soutenir la transition vers des systèmes agricoles plus efficaces, résilients et durables.</w:t>
      </w:r>
    </w:p>
    <w:p>
      <w:pPr/>
      <w:r>
        <w:rPr>
          <w:b w:val="1"/>
          <w:bCs w:val="1"/>
        </w:rPr>
        <w:t xml:space="preserve">Axe de recherche 2 : Comprendre les déterminants comportementaux et les processus de prise de décision dans les systèmes socio-techniques</w:t>
      </w:r>
    </w:p>
    <w:p>
      <w:pPr/>
      <w:r>
        <w:rPr/>
        <w:t xml:space="preserve">Cet axe se concentre sur la dimension comportementale des systèmes agricoles et environnementaux, en examinant comment les comportements individuels et collectifs influencent la prise de décision, l’adoption des technologies et les changements de pratiques. Ses recherches portent sur les perceptions, motivations et contraintes des agriculteurs, gestionnaires et autres parties prenantes, en s’appuyant sur des approches comportementales et socio-économiques pour mieux comprendre les dynamiques qui sous-tendent les transitions des systèmes. Bien que de nombreuses études de cas soient ancrées dans des contextes agricoles, les cadres comportementaux développés dans cet axe sont transférables à d’autres systèmes socio-techniques confrontés à des enjeux de durabilité et d’innovation.</w:t>
      </w:r>
    </w:p>
    <w:p>
      <w:pPr/>
      <w:r>
        <w:rPr>
          <w:b w:val="1"/>
          <w:bCs w:val="1"/>
        </w:rPr>
        <w:t xml:space="preserve">Axe de recherche 3 : Concevoir des modèles économiques et des stratégies d’innovation pour des entreprises durables et technologiques</w:t>
      </w:r>
    </w:p>
    <w:p>
      <w:pPr/>
      <w:r>
        <w:rPr/>
        <w:t xml:space="preserve">Cet axe aborde les dimensions économiques et organisationnelles de l’innovation, en mettant particulièrement l’accent sur la conception et l’évaluation de modèles économiques, de configurations de chaînes de valeur et de stratégies d’innovation qui soutiennent des systèmes durables et technologiquement performants. Ses travaux examinent comment les innovations technologiques et organisationnelles peuvent être traduites en modèles économiques viables, facilitant ainsi le transfert de technologie et la mise sur le marché. Bien que l’agriculture et les systèmes agroalimentaires restent des domaines clés d’application, cet axe est explicitement orienté vers l’innovation intersectorielle, s’étendant à d’autres industries, aux services environnementaux et à d’autres secteurs technologiques.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Animating the transition: How agriculture 5.0 revitalises agroecological principles</w:t>
              </w:r>
            </w:hyperlink>
          </w:p>
          <w:p>
            <w:pPr/>
            <w:hyperlink r:id="rId9" w:history="1">
              <w:r>
                <w:rPr>
                  <w:color w:val="#410a8c"/>
                  <w:u w:val="single"/>
                </w:rPr>
                <w:t xml:space="preserve">Mohammad Naim</w:t>
              </w:r>
            </w:hyperlink>
            <w:r>
              <w:rPr/>
              <w:t xml:space="preserve">,</w:t>
            </w:r>
            <w:hyperlink r:id="rId10" w:history="1">
              <w:r>
                <w:rPr>
                  <w:color w:val="#410a8c"/>
                  <w:u w:val="single"/>
                </w:rPr>
                <w:t xml:space="preserve">A. Boukhizzou</w:t>
              </w:r>
            </w:hyperlink>
          </w:p>
          <w:p>
            <w:pPr/>
            <w:r>
              <w:rPr>
                <w:i w:val="1"/>
                <w:iCs w:val="1"/>
              </w:rPr>
              <w:t xml:space="preserve">Smart Agricultural Technology</w:t>
            </w:r>
            <w:r>
              <w:rPr/>
              <w:t xml:space="preserve">, 2026, 13, pp.101788. </w:t>
            </w:r>
            <w:hyperlink r:id="rId11" w:history="1">
              <w:r>
                <w:rPr>
                  <w:color w:val="#410a8c"/>
                  <w:u w:val="single"/>
                </w:rPr>
                <w:t xml:space="preserve">⟨10.1016/j.atech.2026.101788⟩</w:t>
              </w:r>
            </w:hyperlink>
          </w:p>
          <w:p>
            <w:pPr/>
            <w:r>
              <w:rPr/>
              <w:t xml:space="preserve">Article dans une revue</w:t>
            </w:r>
          </w:p>
          <w:p>
            <w:pPr/>
            <w:hyperlink r:id="rId8" w:history="1">
              <w:r>
                <w:rPr>
                  <w:color w:val="#410a8c"/>
                  <w:u w:val="single"/>
                </w:rPr>
                <w:t xml:space="preserve">hal-05446899v1</w:t>
              </w:r>
            </w:hyperlink>
          </w:p>
        </w:tc>
      </w:tr>
      <w:tr>
        <w:trPr/>
        <w:tc>
          <w:tcPr>
            <w:noWrap/>
          </w:tcPr>
          <w:p>
            <w:pPr>
              <w:spacing w:after="200"/>
            </w:pPr>
            <w:hyperlink r:id="rId12" w:history="1">
              <w:r>
                <w:rPr>
                  <w:color w:val="1e198e"/>
                  <w:b w:val="1"/>
                  <w:bCs w:val="1"/>
                  <w:u w:val="single"/>
                </w:rPr>
                <w:t xml:space="preserve">Advancing agroecology and sustainability with agricultural robots at field level: A scoping review</w:t>
              </w:r>
            </w:hyperlink>
          </w:p>
          <w:p>
            <w:pPr/>
            <w:hyperlink r:id="rId9" w:history="1">
              <w:r>
                <w:rPr>
                  <w:color w:val="#410a8c"/>
                  <w:u w:val="single"/>
                </w:rPr>
                <w:t xml:space="preserve">Mohammad Naim</w:t>
              </w:r>
            </w:hyperlink>
            <w:r>
              <w:rPr/>
              <w:t xml:space="preserve">,</w:t>
            </w:r>
            <w:hyperlink r:id="rId13" w:history="1">
              <w:r>
                <w:rPr>
                  <w:color w:val="#410a8c"/>
                  <w:u w:val="single"/>
                </w:rPr>
                <w:t xml:space="preserve">Davide Rizzo</w:t>
              </w:r>
            </w:hyperlink>
            <w:r>
              <w:rPr/>
              <w:t xml:space="preserve">,</w:t>
            </w:r>
            <w:hyperlink r:id="rId14" w:history="1">
              <w:r>
                <w:rPr>
                  <w:color w:val="#410a8c"/>
                  <w:u w:val="single"/>
                </w:rPr>
                <w:t xml:space="preserve">Loïc Sauvée</w:t>
              </w:r>
            </w:hyperlink>
            <w:r>
              <w:rPr/>
              <w:t xml:space="preserve">,</w:t>
            </w:r>
            <w:hyperlink r:id="rId15" w:history="1">
              <w:r>
                <w:rPr>
                  <w:color w:val="#410a8c"/>
                  <w:u w:val="single"/>
                </w:rPr>
                <w:t xml:space="preserve">Marco Medici</w:t>
              </w:r>
            </w:hyperlink>
          </w:p>
          <w:p>
            <w:pPr/>
            <w:r>
              <w:rPr>
                <w:i w:val="1"/>
                <w:iCs w:val="1"/>
              </w:rPr>
              <w:t xml:space="preserve">Computers and Electronics in Agriculture</w:t>
            </w:r>
            <w:r>
              <w:rPr/>
              <w:t xml:space="preserve">, 2025, 237 (B), pp.110650. </w:t>
            </w:r>
            <w:hyperlink r:id="rId16" w:history="1">
              <w:r>
                <w:rPr>
                  <w:color w:val="#410a8c"/>
                  <w:u w:val="single"/>
                </w:rPr>
                <w:t xml:space="preserve">⟨10.1016/j.compag.2025.110650⟩</w:t>
              </w:r>
            </w:hyperlink>
          </w:p>
          <w:p>
            <w:pPr/>
            <w:r>
              <w:rPr/>
              <w:t xml:space="preserve">Article dans une revue</w:t>
            </w:r>
          </w:p>
          <w:p>
            <w:pPr/>
            <w:hyperlink r:id="rId12" w:history="1">
              <w:r>
                <w:rPr>
                  <w:color w:val="#410a8c"/>
                  <w:u w:val="single"/>
                </w:rPr>
                <w:t xml:space="preserve">hal-05110984v1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NINSAR Project: Defining Agroecological Routes Using Robots</w:t>
              </w:r>
            </w:hyperlink>
          </w:p>
          <w:p>
            <w:pPr/>
            <w:hyperlink r:id="rId9" w:history="1">
              <w:r>
                <w:rPr>
                  <w:color w:val="#410a8c"/>
                  <w:u w:val="single"/>
                </w:rPr>
                <w:t xml:space="preserve">Mohammad Naim</w:t>
              </w:r>
            </w:hyperlink>
            <w:r>
              <w:rPr/>
              <w:t xml:space="preserve">,</w:t>
            </w:r>
            <w:hyperlink r:id="rId13" w:history="1">
              <w:r>
                <w:rPr>
                  <w:color w:val="#410a8c"/>
                  <w:u w:val="single"/>
                </w:rPr>
                <w:t xml:space="preserve">Davide Rizzo</w:t>
              </w:r>
            </w:hyperlink>
            <w:r>
              <w:rPr/>
              <w:t xml:space="preserve">,</w:t>
            </w:r>
            <w:hyperlink r:id="rId18" w:history="1">
              <w:r>
                <w:rPr>
                  <w:color w:val="#410a8c"/>
                  <w:u w:val="single"/>
                </w:rPr>
                <w:t xml:space="preserve">Maryem Cherni</w:t>
              </w:r>
            </w:hyperlink>
            <w:r>
              <w:rPr/>
              <w:t xml:space="preserve">,</w:t>
            </w:r>
            <w:hyperlink r:id="rId15" w:history="1">
              <w:r>
                <w:rPr>
                  <w:color w:val="#410a8c"/>
                  <w:u w:val="single"/>
                </w:rPr>
                <w:t xml:space="preserve">Marco Medici</w:t>
              </w:r>
            </w:hyperlink>
            <w:r>
              <w:rPr/>
              <w:t xml:space="preserve">,</w:t>
            </w:r>
            <w:hyperlink r:id="rId14" w:history="1">
              <w:r>
                <w:rPr>
                  <w:color w:val="#410a8c"/>
                  <w:u w:val="single"/>
                </w:rPr>
                <w:t xml:space="preserve">Loïc Sauvée</w:t>
              </w:r>
            </w:hyperlink>
          </w:p>
          <w:p>
            <w:pPr/>
            <w:r>
              <w:rPr/>
              <w:t xml:space="preserve">2025, </w:t>
            </w:r>
            <w:hyperlink r:id="rId19" w:history="1">
              <w:r>
                <w:rPr>
                  <w:color w:val="#410a8c"/>
                  <w:u w:val="single"/>
                </w:rPr>
                <w:t xml:space="preserve">⟨10.5281/zenodo.17700793⟩</w:t>
              </w:r>
            </w:hyperlink>
          </w:p>
          <w:p>
            <w:pPr/>
            <w:r>
              <w:rPr/>
              <w:t xml:space="preserve">Autre publication scientifique</w:t>
            </w:r>
          </w:p>
          <w:p>
            <w:pPr/>
            <w:hyperlink r:id="rId17" w:history="1">
              <w:r>
                <w:rPr>
                  <w:color w:val="#410a8c"/>
                  <w:u w:val="single"/>
                </w:rPr>
                <w:t xml:space="preserve">hal-05380224v1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 systematic classification of agrobots to inform farmers’ choice and clarify market development</w:t>
              </w:r>
            </w:hyperlink>
          </w:p>
          <w:p>
            <w:pPr/>
            <w:hyperlink r:id="rId9" w:history="1">
              <w:r>
                <w:rPr>
                  <w:color w:val="#410a8c"/>
                  <w:u w:val="single"/>
                </w:rPr>
                <w:t xml:space="preserve">Mohammad Naim</w:t>
              </w:r>
            </w:hyperlink>
            <w:r>
              <w:rPr/>
              <w:t xml:space="preserve">,</w:t>
            </w:r>
            <w:hyperlink r:id="rId13" w:history="1">
              <w:r>
                <w:rPr>
                  <w:color w:val="#410a8c"/>
                  <w:u w:val="single"/>
                </w:rPr>
                <w:t xml:space="preserve">Davide Rizzo</w:t>
              </w:r>
            </w:hyperlink>
            <w:r>
              <w:rPr/>
              <w:t xml:space="preserve">,</w:t>
            </w:r>
            <w:hyperlink r:id="rId14" w:history="1">
              <w:r>
                <w:rPr>
                  <w:color w:val="#410a8c"/>
                  <w:u w:val="single"/>
                </w:rPr>
                <w:t xml:space="preserve">Loïc Sauvée</w:t>
              </w:r>
            </w:hyperlink>
            <w:r>
              <w:rPr/>
              <w:t xml:space="preserve">,</w:t>
            </w:r>
            <w:hyperlink r:id="rId15" w:history="1">
              <w:r>
                <w:rPr>
                  <w:color w:val="#410a8c"/>
                  <w:u w:val="single"/>
                </w:rPr>
                <w:t xml:space="preserve">Marco Medici</w:t>
              </w:r>
            </w:hyperlink>
          </w:p>
          <w:p>
            <w:pPr/>
            <w:r>
              <w:rPr>
                <w:i w:val="1"/>
                <w:iCs w:val="1"/>
              </w:rPr>
              <w:t xml:space="preserve">15. European Conference on Precision Agriculture (ECPA 2025)</w:t>
            </w:r>
            <w:r>
              <w:rPr/>
              <w:t xml:space="preserve">, Universitat Politècnica de Catalunya, Jun 2025, Barcelona, Spain. pp.991-997, </w:t>
            </w:r>
            <w:hyperlink r:id="rId21" w:history="1">
              <w:r>
                <w:rPr>
                  <w:color w:val="#410a8c"/>
                  <w:u w:val="single"/>
                </w:rPr>
                <w:t xml:space="preserve">⟨10.1163/9789004725232_130⟩</w:t>
              </w:r>
            </w:hyperlink>
          </w:p>
          <w:p>
            <w:pPr/>
            <w:r>
              <w:rPr/>
              <w:t xml:space="preserve">Communication dans un congrès</w:t>
            </w:r>
          </w:p>
          <w:p>
            <w:pPr/>
            <w:hyperlink r:id="rId20" w:history="1">
              <w:r>
                <w:rPr>
                  <w:color w:val="#410a8c"/>
                  <w:u w:val="single"/>
                </w:rPr>
                <w:t xml:space="preserve">hal-05156704v1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6899v1" TargetMode="External"/><Relationship Id="rId9" Type="http://schemas.openxmlformats.org/officeDocument/2006/relationships/hyperlink" Target="https://hal.science/search/index/?q=*&amp;authFullName_s=Mohammad Naim" TargetMode="External"/><Relationship Id="rId10" Type="http://schemas.openxmlformats.org/officeDocument/2006/relationships/hyperlink" Target="https://hal.science/search/index/?q=*&amp;authFullName_s=A. Boukhizzou" TargetMode="External"/><Relationship Id="rId11" Type="http://schemas.openxmlformats.org/officeDocument/2006/relationships/hyperlink" Target="https://dx.doi.org/10.1016/j.atech.2026.101788" TargetMode="External"/><Relationship Id="rId12" Type="http://schemas.openxmlformats.org/officeDocument/2006/relationships/hyperlink" Target="https://hal.science/hal-05110984v1" TargetMode="External"/><Relationship Id="rId13" Type="http://schemas.openxmlformats.org/officeDocument/2006/relationships/hyperlink" Target="https://hal.science/search/index/?q=*&amp;authFullName_s=Davide Rizzo" TargetMode="External"/><Relationship Id="rId14" Type="http://schemas.openxmlformats.org/officeDocument/2006/relationships/hyperlink" Target="https://hal.science/search/index/?q=*&amp;authFullName_s=Lo&#239;c Sauv&#233;e" TargetMode="External"/><Relationship Id="rId15" Type="http://schemas.openxmlformats.org/officeDocument/2006/relationships/hyperlink" Target="https://hal.science/search/index/?q=*&amp;authFullName_s=Marco Medici" TargetMode="External"/><Relationship Id="rId16" Type="http://schemas.openxmlformats.org/officeDocument/2006/relationships/hyperlink" Target="https://dx.doi.org/10.1016/j.compag.2025.110650" TargetMode="External"/><Relationship Id="rId17" Type="http://schemas.openxmlformats.org/officeDocument/2006/relationships/hyperlink" Target="https://hal.science/hal-05380224v1" TargetMode="External"/><Relationship Id="rId18" Type="http://schemas.openxmlformats.org/officeDocument/2006/relationships/hyperlink" Target="https://hal.science/search/index/?q=*&amp;authFullName_s=Maryem Cherni" TargetMode="External"/><Relationship Id="rId19" Type="http://schemas.openxmlformats.org/officeDocument/2006/relationships/hyperlink" Target="https://dx.doi.org/10.5281/zenodo.17700793" TargetMode="External"/><Relationship Id="rId20" Type="http://schemas.openxmlformats.org/officeDocument/2006/relationships/hyperlink" Target="https://hal.inrae.fr/hal-05156704v1" TargetMode="External"/><Relationship Id="rId21" Type="http://schemas.openxmlformats.org/officeDocument/2006/relationships/hyperlink" Target="https://dx.doi.org/10.1163/9789004725232_1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Mohammad Naim</dc:title>
  <dc:description>CV</dc:description>
  <dc:subject/>
  <cp:keywords/>
  <cp:category/>
  <cp:lastModifiedBy/>
  <dcterms:created xsi:type="dcterms:W3CDTF">2026-03-06T04:56:58+01:00</dcterms:created>
  <dcterms:modified xsi:type="dcterms:W3CDTF">2026-03-06T04:56:58+01:00</dcterms:modified>
</cp:coreProperties>
</file>

<file path=docProps/custom.xml><?xml version="1.0" encoding="utf-8"?>
<Properties xmlns="http://schemas.openxmlformats.org/officeDocument/2006/custom-properties" xmlns:vt="http://schemas.openxmlformats.org/officeDocument/2006/docPropsVTypes"/>
</file>