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mustapha afroukh </w:t>
      </w:r>
      <w:r>
        <w:rPr>
          <w:color w:val="641e6e"/>
        </w:rPr>
        <w:t xml:space="preserve">- Maître de conférences HDR en droit public à l'Université de Montpellier, membre de l'IDEDH (UR_UM205)  ; membre associé du CRDH (Paris Panthéon-Assas).- Membre du CNU, section 02.- Secrétaire général de l'Association des amis de la Fondation Cassin.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droit public à l’Université de Montpellier, membre de </w:t>
      </w:r>
      <w:hyperlink r:id="rId8" w:history="1">
        <w:r>
          <w:rPr>
            <w:color w:val="#410a8c"/>
            <w:u w:val="single"/>
          </w:rPr>
          <w:t xml:space="preserve">l’IDEDH (Université de Montpellier) </w:t>
        </w:r>
      </w:hyperlink>
      <w:r>
        <w:rPr/>
        <w:t xml:space="preserve">et membre associé du </w:t>
      </w:r>
      <w:hyperlink r:id="rId9" w:history="1">
        <w:r>
          <w:rPr>
            <w:color w:val="#410a8c"/>
            <w:u w:val="single"/>
          </w:rPr>
          <w:t xml:space="preserve">CRDH (Paris Panthéon-Assas</w:t>
        </w:r>
      </w:hyperlink>
      <w:r>
        <w:rPr/>
        <w:t xml:space="preserve">) ; en charge de plusieurs responsabilités pédagogiques : codirecteur </w:t>
      </w:r>
      <w:hyperlink r:id="rId10" w:history="1">
        <w:r>
          <w:rPr>
            <w:color w:val="#410a8c"/>
            <w:u w:val="single"/>
          </w:rPr>
          <w:t xml:space="preserve">d’un Master en Droit des libertés</w:t>
        </w:r>
      </w:hyperlink>
      <w:r>
        <w:rPr/>
        <w:t xml:space="preserve"> ; Directeur des études du </w:t>
      </w:r>
      <w:hyperlink r:id="rId11" w:history="1">
        <w:r>
          <w:rPr>
            <w:color w:val="#410a8c"/>
            <w:u w:val="single"/>
          </w:rPr>
          <w:t xml:space="preserve">Magistère droit public appliqué</w:t>
        </w:r>
      </w:hyperlink>
      <w:r>
        <w:rPr/>
        <w:t xml:space="preserve">. Je suis membre élu du CNU Section 02 depuis janvier 2024.</w:t>
      </w:r>
    </w:p>
    <w:p>
      <w:pPr/>
      <w:r>
        <w:rPr/>
        <w:t xml:space="preserve">J'enseigne la théorie générale des droits et libertés fondamentaux et le droit international des droits de l’homme.</w:t>
      </w:r>
    </w:p>
    <w:p>
      <w:pPr/>
      <w:r>
        <w:rPr/>
        <w:t xml:space="preserve">Spécialisé dans le droit international des droits de l’homme depuis une dizaine d’années, j’ai inscrit mes travaux dans une ouverture pluridisciplinaire (droit international, droit administratif ; droit constitutionnel) et une démarche de réflexion critique constante. Je m’intéresse tout particulièrement à l’articulation et la portée des modalités de contrôle exercé en matière de protection des droits de l’homme, aux conflits entre droits et libertés ainsi qu'aux discours critiques sur les droits de l'homme. Je suis ainsi responsable de plusieurs chroniques : coresponsable de la chronique annuelle sur les constatations des comités onusiens (avec S. Jamal) à la Revue </w:t>
      </w:r>
      <w:hyperlink r:id="rId12" w:history="1">
        <w:r>
          <w:rPr>
            <w:color w:val="#410a8c"/>
            <w:u w:val="single"/>
          </w:rPr>
          <w:t xml:space="preserve">Droits fondamentaux</w:t>
        </w:r>
      </w:hyperlink>
      <w:r>
        <w:rPr/>
        <w:t xml:space="preserve"> ; responsable de la chronique semestrielle intitulée Droits religieux à la</w:t>
      </w:r>
      <w:hyperlink r:id="rId13" w:history="1">
        <w:r>
          <w:rPr>
            <w:color w:val="#410a8c"/>
            <w:u w:val="single"/>
          </w:rPr>
          <w:t xml:space="preserve"> RSDA</w:t>
        </w:r>
      </w:hyperlink>
      <w:r>
        <w:rPr/>
        <w:t xml:space="preserve"> ; coresponsable de la chronique semestrielle sur les évolutions de la jurisprudence de la Cour européenne des droits de l’homme à</w:t>
      </w:r>
      <w:hyperlink r:id="rId14" w:history="1">
        <w:r>
          <w:rPr>
            <w:color w:val="#410a8c"/>
            <w:u w:val="single"/>
          </w:rPr>
          <w:t xml:space="preserve"> la RDLF</w:t>
        </w:r>
      </w:hyperlink>
      <w:r>
        <w:rPr/>
        <w:t xml:space="preserve"> (avec C. Picheral et T. Larrouturou).</w:t>
      </w:r>
    </w:p>
    <w:p>
      <w:pPr/>
      <w:r>
        <w:rPr/>
        <w:t xml:space="preserve">Mes publications les plus récentes :*</w:t>
      </w:r>
      <w:hyperlink r:id="rId15" w:history="1">
        <w:r>
          <w:rPr>
            <w:color w:val="#410a8c"/>
            <w:u w:val="single"/>
          </w:rPr>
          <w:t xml:space="preserve"> Droits et libertés fondamentaux*,PUF, coll. Que-sais-je, 2023</w:t>
        </w:r>
      </w:hyperlink>
      <w:r>
        <w:rPr/>
        <w:t xml:space="preserve"> ; </w:t>
      </w:r>
      <w:hyperlink r:id="rId16" w:history="1">
        <w:r>
          <w:rPr>
            <w:color w:val="#410a8c"/>
            <w:u w:val="single"/>
          </w:rPr>
          <w:t xml:space="preserve">En finir avec les idées reçues sur la Convention européenne des droits de l’homme</w:t>
        </w:r>
      </w:hyperlink>
      <w:r>
        <w:rPr/>
        <w:t xml:space="preserve"> (dir.), préf. L. Burgorgue-Larsen, Mare et Martin, 2024 ; « &amp;quot;L’universalisme des droits de l’homme malade de la liberté religieuse ? », in G. Gonzalez (dir.), </w:t>
      </w:r>
      <w:r>
        <w:rPr>
          <w:i w:val="1"/>
          <w:iCs w:val="1"/>
        </w:rPr>
        <w:t xml:space="preserve">30 ans après Kokkinakis contre Grèce : la construction prétorienne d'un droit européen des religions</w:t>
      </w:r>
      <w:r>
        <w:rPr/>
        <w:t xml:space="preserve">, Mare et Martin, 2024, pp. 199-216 ; « Le pluralisme des approches juridiques », in M. Beulay et Y. Lécuyer (dir.), </w:t>
      </w:r>
      <w:r>
        <w:rPr>
          <w:i w:val="1"/>
          <w:iCs w:val="1"/>
        </w:rPr>
        <w:t xml:space="preserve">La pratique des opinions séparées à la Cour européenne des droits de l’homme</w:t>
      </w:r>
      <w:r>
        <w:rPr/>
        <w:t xml:space="preserve">, Pedone, 2024, pp. 85-104 ; « A Posteriori sur André Cocatre-Zilgien, « De quelques effets actuels et éventuels de la ratification de la Convention européenne des droits de l’Homme sur la politique et le droit français » (RDP 1978, p. 621-678) », </w:t>
      </w:r>
      <w:r>
        <w:rPr>
          <w:i w:val="1"/>
          <w:iCs w:val="1"/>
        </w:rPr>
        <w:t xml:space="preserve">RDP</w:t>
      </w:r>
      <w:r>
        <w:rPr/>
        <w:t xml:space="preserve">, 2024, pp. 54-62.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État de droit et démocratie : le point de vue du droit européen des droits de l'homme</w:t>
              </w:r>
            </w:hyperlink>
          </w:p>
          <w:p>
            <w:pPr/>
            <w:hyperlink r:id="rId18" w:history="1">
              <w:r>
                <w:rPr>
                  <w:color w:val="#410a8c"/>
                  <w:u w:val="single"/>
                </w:rPr>
                <w:t xml:space="preserve">Mustapha Afroukh</w:t>
              </w:r>
            </w:hyperlink>
          </w:p>
          <w:p>
            <w:pPr/>
            <w:r>
              <w:rPr>
                <w:i w:val="1"/>
                <w:iCs w:val="1"/>
              </w:rPr>
              <w:t xml:space="preserve">Les Cahiers de la justice</w:t>
            </w:r>
            <w:r>
              <w:rPr/>
              <w:t xml:space="preserve">, 2025, 3, pp.383</w:t>
            </w:r>
          </w:p>
          <w:p>
            <w:pPr/>
            <w:r>
              <w:rPr/>
              <w:t xml:space="preserve">Article dans une revue</w:t>
            </w:r>
          </w:p>
          <w:p>
            <w:pPr/>
            <w:hyperlink r:id="rId17" w:history="1">
              <w:r>
                <w:rPr>
                  <w:color w:val="#410a8c"/>
                  <w:u w:val="single"/>
                </w:rPr>
                <w:t xml:space="preserve">halshs-05270629v1</w:t>
              </w:r>
            </w:hyperlink>
          </w:p>
        </w:tc>
      </w:tr>
      <w:tr>
        <w:trPr/>
        <w:tc>
          <w:tcPr>
            <w:noWrap/>
          </w:tcPr>
          <w:p>
            <w:pPr>
              <w:spacing w:after="200"/>
            </w:pPr>
            <w:hyperlink r:id="rId19" w:history="1">
              <w:r>
                <w:rPr>
                  <w:color w:val="1e198e"/>
                  <w:b w:val="1"/>
                  <w:bCs w:val="1"/>
                  <w:u w:val="single"/>
                </w:rPr>
                <w:t xml:space="preserve">Les rapports ambivalents avec les cours européennes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2025, 05, pp.858</w:t>
            </w:r>
          </w:p>
          <w:p>
            <w:pPr/>
            <w:r>
              <w:rPr/>
              <w:t xml:space="preserve">Article dans une revue</w:t>
            </w:r>
          </w:p>
          <w:p>
            <w:pPr/>
            <w:hyperlink r:id="rId19" w:history="1">
              <w:r>
                <w:rPr>
                  <w:color w:val="#410a8c"/>
                  <w:u w:val="single"/>
                </w:rPr>
                <w:t xml:space="preserve">halshs-05331282v1</w:t>
              </w:r>
            </w:hyperlink>
          </w:p>
        </w:tc>
      </w:tr>
      <w:tr>
        <w:trPr/>
        <w:tc>
          <w:tcPr>
            <w:noWrap/>
          </w:tcPr>
          <w:p>
            <w:pPr>
              <w:spacing w:after="200"/>
            </w:pPr>
            <w:hyperlink r:id="rId20" w:history="1">
              <w:r>
                <w:rPr>
                  <w:color w:val="1e198e"/>
                  <w:b w:val="1"/>
                  <w:bCs w:val="1"/>
                  <w:u w:val="single"/>
                </w:rPr>
                <w:t xml:space="preserve">La jurisprudence européenne relative à la Covid‑19 : le troublant triomphe de l’irrecevabilité (obs. sous CEDH, Gde ch., CGAS c/ Suisse, 27 novembre 2023</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Revue trimestrielle des droits de l'homme</w:t>
            </w:r>
            <w:r>
              <w:rPr/>
              <w:t xml:space="preserve">, 2024</w:t>
            </w:r>
          </w:p>
          <w:p>
            <w:pPr/>
            <w:r>
              <w:rPr/>
              <w:t xml:space="preserve">Article dans une revue</w:t>
            </w:r>
          </w:p>
          <w:p>
            <w:pPr/>
            <w:hyperlink r:id="rId20" w:history="1">
              <w:r>
                <w:rPr>
                  <w:color w:val="#410a8c"/>
                  <w:u w:val="single"/>
                </w:rPr>
                <w:t xml:space="preserve">hal-04858246v1</w:t>
              </w:r>
            </w:hyperlink>
          </w:p>
        </w:tc>
      </w:tr>
      <w:tr>
        <w:trPr/>
        <w:tc>
          <w:tcPr>
            <w:noWrap/>
          </w:tcPr>
          <w:p>
            <w:pPr>
              <w:spacing w:after="200"/>
            </w:pPr>
            <w:hyperlink r:id="rId22" w:history="1">
              <w:r>
                <w:rPr>
                  <w:color w:val="1e198e"/>
                  <w:b w:val="1"/>
                  <w:bCs w:val="1"/>
                  <w:u w:val="single"/>
                </w:rPr>
                <w:t xml:space="preserve">« André Cocatre-Zilgien, « De quelques effets actuels et éventuels de la ratification de la Convention européenne des droits de l’Homme sur la politique et le droit français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2024, pp. 54-62</w:t>
            </w:r>
          </w:p>
          <w:p>
            <w:pPr/>
            <w:r>
              <w:rPr/>
              <w:t xml:space="preserve">Article dans une revue</w:t>
            </w:r>
          </w:p>
          <w:p>
            <w:pPr/>
            <w:hyperlink r:id="rId22" w:history="1">
              <w:r>
                <w:rPr>
                  <w:color w:val="#410a8c"/>
                  <w:u w:val="single"/>
                </w:rPr>
                <w:t xml:space="preserve">hal-04858242v1</w:t>
              </w:r>
            </w:hyperlink>
          </w:p>
        </w:tc>
      </w:tr>
      <w:tr>
        <w:trPr/>
        <w:tc>
          <w:tcPr>
            <w:noWrap/>
          </w:tcPr>
          <w:p>
            <w:pPr>
              <w:spacing w:after="200"/>
            </w:pPr>
            <w:hyperlink r:id="rId23" w:history="1">
              <w:r>
                <w:rPr>
                  <w:color w:val="1e198e"/>
                  <w:b w:val="1"/>
                  <w:bCs w:val="1"/>
                  <w:u w:val="single"/>
                </w:rPr>
                <w:t xml:space="preserve">« Le transhumanisme dans la jurisprudence contemporaine</w:t>
              </w:r>
            </w:hyperlink>
          </w:p>
          <w:p>
            <w:pPr/>
            <w:hyperlink r:id="rId18" w:history="1">
              <w:r>
                <w:rPr>
                  <w:color w:val="#410a8c"/>
                  <w:u w:val="single"/>
                </w:rPr>
                <w:t xml:space="preserve">Mustapha Afroukh</w:t>
              </w:r>
            </w:hyperlink>
          </w:p>
          <w:p>
            <w:pPr/>
            <w:r>
              <w:rPr>
                <w:i w:val="1"/>
                <w:iCs w:val="1"/>
              </w:rPr>
              <w:t xml:space="preserve">Questions constitutionnelles. Revue de droit constitutionnel</w:t>
            </w:r>
            <w:r>
              <w:rPr/>
              <w:t xml:space="preserve">, 2024</w:t>
            </w:r>
          </w:p>
          <w:p>
            <w:pPr/>
            <w:r>
              <w:rPr/>
              <w:t xml:space="preserve">Article dans une revue</w:t>
            </w:r>
          </w:p>
          <w:p>
            <w:pPr/>
            <w:hyperlink r:id="rId23" w:history="1">
              <w:r>
                <w:rPr>
                  <w:color w:val="#410a8c"/>
                  <w:u w:val="single"/>
                </w:rPr>
                <w:t xml:space="preserve">hal-04858249v1</w:t>
              </w:r>
            </w:hyperlink>
          </w:p>
        </w:tc>
      </w:tr>
      <w:tr>
        <w:trPr/>
        <w:tc>
          <w:tcPr>
            <w:noWrap/>
          </w:tcPr>
          <w:p>
            <w:pPr>
              <w:spacing w:after="200"/>
            </w:pPr>
            <w:hyperlink r:id="rId24" w:history="1">
              <w:r>
                <w:rPr>
                  <w:color w:val="1e198e"/>
                  <w:b w:val="1"/>
                  <w:bCs w:val="1"/>
                  <w:u w:val="single"/>
                </w:rPr>
                <w:t xml:space="preserve">Emmanuel Macron a affaibli les défenses immunitaires de la démocratie</w:t>
              </w:r>
            </w:hyperlink>
          </w:p>
          <w:p>
            <w:pPr/>
            <w:hyperlink r:id="rId25" w:history="1">
              <w:r>
                <w:rPr>
                  <w:color w:val="#410a8c"/>
                  <w:u w:val="single"/>
                </w:rPr>
                <w:t xml:space="preserve">Alexandre Viala</w:t>
              </w:r>
            </w:hyperlink>
            <w:r>
              <w:rPr/>
              <w:t xml:space="preserve">,</w:t>
            </w:r>
            <w:hyperlink r:id="rId18" w:history="1">
              <w:r>
                <w:rPr>
                  <w:color w:val="#410a8c"/>
                  <w:u w:val="single"/>
                </w:rPr>
                <w:t xml:space="preserve">Mustapha Afroukh</w:t>
              </w:r>
            </w:hyperlink>
          </w:p>
          <w:p>
            <w:pPr/>
            <w:r>
              <w:rPr>
                <w:i w:val="1"/>
                <w:iCs w:val="1"/>
              </w:rPr>
              <w:t xml:space="preserve">Analyse Opinion Critique</w:t>
            </w:r>
            <w:r>
              <w:rPr/>
              <w:t xml:space="preserve">, 2024</w:t>
            </w:r>
          </w:p>
          <w:p>
            <w:pPr/>
            <w:r>
              <w:rPr/>
              <w:t xml:space="preserve">Article dans une revue</w:t>
            </w:r>
          </w:p>
          <w:p>
            <w:pPr/>
            <w:hyperlink r:id="rId24" w:history="1">
              <w:r>
                <w:rPr>
                  <w:color w:val="#410a8c"/>
                  <w:u w:val="single"/>
                </w:rPr>
                <w:t xml:space="preserve">hal-04980992v1</w:t>
              </w:r>
            </w:hyperlink>
          </w:p>
        </w:tc>
      </w:tr>
      <w:tr>
        <w:trPr/>
        <w:tc>
          <w:tcPr>
            <w:noWrap/>
          </w:tcPr>
          <w:p>
            <w:pPr>
              <w:spacing w:after="200"/>
            </w:pPr>
            <w:hyperlink r:id="rId26" w:history="1">
              <w:r>
                <w:rPr>
                  <w:color w:val="1e198e"/>
                  <w:b w:val="1"/>
                  <w:bCs w:val="1"/>
                  <w:u w:val="single"/>
                </w:rPr>
                <w:t xml:space="preserve">« Plaidoyer pour une objectivisation du contrôle assumée »</w:t>
              </w:r>
            </w:hyperlink>
          </w:p>
          <w:p>
            <w:pPr/>
            <w:hyperlink r:id="rId18" w:history="1">
              <w:r>
                <w:rPr>
                  <w:color w:val="#410a8c"/>
                  <w:u w:val="single"/>
                </w:rPr>
                <w:t xml:space="preserve">Mustapha Afroukh</w:t>
              </w:r>
            </w:hyperlink>
          </w:p>
          <w:p>
            <w:pPr/>
            <w:r>
              <w:rPr>
                <w:i w:val="1"/>
                <w:iCs w:val="1"/>
              </w:rPr>
              <w:t xml:space="preserve">Civitas Europa</w:t>
            </w:r>
            <w:r>
              <w:rPr/>
              <w:t xml:space="preserve">, 2023, pp. 55-69</w:t>
            </w:r>
          </w:p>
          <w:p>
            <w:pPr/>
            <w:r>
              <w:rPr/>
              <w:t xml:space="preserve">Article dans une revue</w:t>
            </w:r>
          </w:p>
          <w:p>
            <w:pPr/>
            <w:hyperlink r:id="rId26" w:history="1">
              <w:r>
                <w:rPr>
                  <w:color w:val="#410a8c"/>
                  <w:u w:val="single"/>
                </w:rPr>
                <w:t xml:space="preserve">hal-04858253v1</w:t>
              </w:r>
            </w:hyperlink>
          </w:p>
        </w:tc>
      </w:tr>
      <w:tr>
        <w:trPr/>
        <w:tc>
          <w:tcPr>
            <w:noWrap/>
          </w:tcPr>
          <w:p>
            <w:pPr>
              <w:spacing w:after="200"/>
            </w:pPr>
            <w:hyperlink r:id="rId27" w:history="1">
              <w:r>
                <w:rPr>
                  <w:color w:val="1e198e"/>
                  <w:b w:val="1"/>
                  <w:bCs w:val="1"/>
                  <w:u w:val="single"/>
                </w:rPr>
                <w:t xml:space="preserve">« Quelle place pour la liberté de religion dans la hiérarchie des droits ?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2023, pp. 661-669</w:t>
            </w:r>
          </w:p>
          <w:p>
            <w:pPr/>
            <w:r>
              <w:rPr/>
              <w:t xml:space="preserve">Article dans une revue</w:t>
            </w:r>
          </w:p>
          <w:p>
            <w:pPr/>
            <w:hyperlink r:id="rId27" w:history="1">
              <w:r>
                <w:rPr>
                  <w:color w:val="#410a8c"/>
                  <w:u w:val="single"/>
                </w:rPr>
                <w:t xml:space="preserve">hal-04858251v1</w:t>
              </w:r>
            </w:hyperlink>
          </w:p>
        </w:tc>
      </w:tr>
      <w:tr>
        <w:trPr/>
        <w:tc>
          <w:tcPr>
            <w:noWrap/>
          </w:tcPr>
          <w:p>
            <w:pPr>
              <w:spacing w:after="200"/>
            </w:pPr>
            <w:hyperlink r:id="rId28" w:history="1">
              <w:r>
                <w:rPr>
                  <w:color w:val="1e198e"/>
                  <w:b w:val="1"/>
                  <w:bCs w:val="1"/>
                  <w:u w:val="single"/>
                </w:rPr>
                <w:t xml:space="preserve">La jurisprudence européenne relative à la Covid-19 dans la phase des essais cliniques</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2022, 22, pp.1130</w:t>
            </w:r>
          </w:p>
          <w:p>
            <w:pPr/>
            <w:r>
              <w:rPr/>
              <w:t xml:space="preserve">Article dans une revue</w:t>
            </w:r>
          </w:p>
          <w:p>
            <w:pPr/>
            <w:hyperlink r:id="rId28" w:history="1">
              <w:r>
                <w:rPr>
                  <w:color w:val="#410a8c"/>
                  <w:u w:val="single"/>
                </w:rPr>
                <w:t xml:space="preserve">halshs-03696792v1</w:t>
              </w:r>
            </w:hyperlink>
          </w:p>
        </w:tc>
      </w:tr>
      <w:tr>
        <w:trPr/>
        <w:tc>
          <w:tcPr>
            <w:noWrap/>
          </w:tcPr>
          <w:p>
            <w:pPr>
              <w:spacing w:after="200"/>
            </w:pPr>
            <w:hyperlink r:id="rId29" w:history="1">
              <w:r>
                <w:rPr>
                  <w:color w:val="1e198e"/>
                  <w:b w:val="1"/>
                  <w:bCs w:val="1"/>
                  <w:u w:val="single"/>
                </w:rPr>
                <w:t xml:space="preserve">La Cour de cassation et les droits et libertés : la revanche</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2022, Le droit des libertés en question(s) – Colloque n°3 de la RDLF - Montpellier 2021, pp.chron. n°46</w:t>
            </w:r>
          </w:p>
          <w:p>
            <w:pPr/>
            <w:r>
              <w:rPr/>
              <w:t xml:space="preserve">Article dans une revue</w:t>
            </w:r>
          </w:p>
          <w:p>
            <w:pPr/>
            <w:hyperlink r:id="rId29" w:history="1">
              <w:r>
                <w:rPr>
                  <w:color w:val="#410a8c"/>
                  <w:u w:val="single"/>
                </w:rPr>
                <w:t xml:space="preserve">hal-03896027v1</w:t>
              </w:r>
            </w:hyperlink>
          </w:p>
        </w:tc>
      </w:tr>
      <w:tr>
        <w:trPr/>
        <w:tc>
          <w:tcPr>
            <w:noWrap/>
          </w:tcPr>
          <w:p>
            <w:pPr>
              <w:spacing w:after="200"/>
            </w:pPr>
            <w:hyperlink r:id="rId31"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32" w:history="1">
              <w:r>
                <w:rPr>
                  <w:color w:val="#410a8c"/>
                  <w:u w:val="single"/>
                </w:rPr>
                <w:t xml:space="preserve">Natașa Danelciuc-Colodrovschi</w:t>
              </w:r>
            </w:hyperlink>
            <w:r>
              <w:rPr/>
              <w:t xml:space="preserve">,</w:t>
            </w:r>
            <w:hyperlink r:id="rId33" w:history="1">
              <w:r>
                <w:rPr>
                  <w:color w:val="#410a8c"/>
                  <w:u w:val="single"/>
                </w:rPr>
                <w:t xml:space="preserve">Marc Verdussen</w:t>
              </w:r>
            </w:hyperlink>
            <w:r>
              <w:rPr/>
              <w:t xml:space="preserve">,</w:t>
            </w:r>
            <w:hyperlink r:id="rId18" w:history="1">
              <w:r>
                <w:rPr>
                  <w:color w:val="#410a8c"/>
                  <w:u w:val="single"/>
                </w:rPr>
                <w:t xml:space="preserve">Mustapha Afroukh</w:t>
              </w:r>
            </w:hyperlink>
            <w:r>
              <w:rPr/>
              <w:t xml:space="preserve">,</w:t>
            </w:r>
            <w:hyperlink r:id="rId34" w:history="1">
              <w:r>
                <w:rPr>
                  <w:color w:val="#410a8c"/>
                  <w:u w:val="single"/>
                </w:rPr>
                <w:t xml:space="preserve">Véronique Boillet</w:t>
              </w:r>
            </w:hyperlink>
            <w:r>
              <w:rPr/>
              <w:t xml:space="preserve">,</w:t>
            </w:r>
            <w:hyperlink r:id="rId35"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31" w:history="1">
              <w:r>
                <w:rPr>
                  <w:color w:val="#410a8c"/>
                  <w:u w:val="single"/>
                </w:rPr>
                <w:t xml:space="preserve">hal-04983053v1</w:t>
              </w:r>
            </w:hyperlink>
          </w:p>
        </w:tc>
      </w:tr>
      <w:tr>
        <w:trPr/>
        <w:tc>
          <w:tcPr>
            <w:noWrap/>
          </w:tcPr>
          <w:p>
            <w:pPr>
              <w:spacing w:after="200"/>
            </w:pPr>
            <w:hyperlink r:id="rId36" w:history="1">
              <w:r>
                <w:rPr>
                  <w:color w:val="1e198e"/>
                  <w:b w:val="1"/>
                  <w:bCs w:val="1"/>
                  <w:u w:val="single"/>
                </w:rPr>
                <w:t xml:space="preserve">« Les conséquences à double tranchant de l’exclusion de la Russie du Conseil de l’Europe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Dalloz Actualité</w:t>
            </w:r>
            <w:r>
              <w:rPr/>
              <w:t xml:space="preserve">, 2022, https://www.dalloz-actualite.fr/flash/consequences-double-tranchant-de-l-exclusion-de-russie-du-conseil-de-l-europe</w:t>
            </w:r>
          </w:p>
          <w:p>
            <w:pPr/>
            <w:r>
              <w:rPr/>
              <w:t xml:space="preserve">Article dans une revue</w:t>
            </w:r>
          </w:p>
          <w:p>
            <w:pPr/>
            <w:hyperlink r:id="rId36" w:history="1">
              <w:r>
                <w:rPr>
                  <w:color w:val="#410a8c"/>
                  <w:u w:val="single"/>
                </w:rPr>
                <w:t xml:space="preserve">hal-04860775v1</w:t>
              </w:r>
            </w:hyperlink>
          </w:p>
        </w:tc>
      </w:tr>
      <w:tr>
        <w:trPr/>
        <w:tc>
          <w:tcPr>
            <w:noWrap/>
          </w:tcPr>
          <w:p>
            <w:pPr>
              <w:spacing w:after="200"/>
            </w:pPr>
            <w:hyperlink r:id="rId37"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2021, p. 432-436</w:t>
            </w:r>
          </w:p>
          <w:p>
            <w:pPr/>
            <w:r>
              <w:rPr/>
              <w:t xml:space="preserve">Article dans une revue</w:t>
            </w:r>
          </w:p>
          <w:p>
            <w:pPr/>
            <w:hyperlink r:id="rId37" w:history="1">
              <w:r>
                <w:rPr>
                  <w:color w:val="#410a8c"/>
                  <w:u w:val="single"/>
                </w:rPr>
                <w:t xml:space="preserve">halshs-04858589v1</w:t>
              </w:r>
            </w:hyperlink>
          </w:p>
        </w:tc>
      </w:tr>
      <w:tr>
        <w:trPr/>
        <w:tc>
          <w:tcPr>
            <w:noWrap/>
          </w:tcPr>
          <w:p>
            <w:pPr>
              <w:spacing w:after="200"/>
            </w:pPr>
            <w:hyperlink r:id="rId38" w:history="1">
              <w:r>
                <w:rPr>
                  <w:color w:val="1e198e"/>
                  <w:b w:val="1"/>
                  <w:bCs w:val="1"/>
                  <w:u w:val="single"/>
                </w:rPr>
                <w:t xml:space="preserve">« Le recours au mécanisme dérogatoire en période de Covid-19 ou le droit international des droits de l’homme à la croisée des chemins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2021, pp. 275-300</w:t>
            </w:r>
          </w:p>
          <w:p>
            <w:pPr/>
            <w:r>
              <w:rPr/>
              <w:t xml:space="preserve">Article dans une revue</w:t>
            </w:r>
          </w:p>
          <w:p>
            <w:pPr/>
            <w:hyperlink r:id="rId38" w:history="1">
              <w:r>
                <w:rPr>
                  <w:color w:val="#410a8c"/>
                  <w:u w:val="single"/>
                </w:rPr>
                <w:t xml:space="preserve">halshs-04858572v1</w:t>
              </w:r>
            </w:hyperlink>
          </w:p>
        </w:tc>
      </w:tr>
      <w:tr>
        <w:trPr/>
        <w:tc>
          <w:tcPr>
            <w:noWrap/>
          </w:tcPr>
          <w:p>
            <w:pPr>
              <w:spacing w:after="200"/>
            </w:pPr>
            <w:hyperlink r:id="rId39" w:history="1">
              <w:r>
                <w:rPr>
                  <w:color w:val="1e198e"/>
                  <w:b w:val="1"/>
                  <w:bCs w:val="1"/>
                  <w:u w:val="single"/>
                </w:rPr>
                <w:t xml:space="preserve">La Convention européenne des droits de l’homme devant le Conseil d’Etat en période d’état d’urgence sanitaire : une omniprésence en trompe-l’œil ?</w:t>
              </w:r>
            </w:hyperlink>
          </w:p>
          <w:p>
            <w:pPr/>
            <w:hyperlink r:id="rId18" w:history="1">
              <w:r>
                <w:rPr>
                  <w:color w:val="#410a8c"/>
                  <w:u w:val="single"/>
                </w:rPr>
                <w:t xml:space="preserve">Mustapha Afroukh</w:t>
              </w:r>
            </w:hyperlink>
          </w:p>
          <w:p>
            <w:pPr/>
            <w:r>
              <w:rPr>
                <w:i w:val="1"/>
                <w:iCs w:val="1"/>
              </w:rPr>
              <w:t xml:space="preserve">Europe des Droits &amp; Libertés / Europe of Rights &amp; Liberties</w:t>
            </w:r>
            <w:r>
              <w:rPr/>
              <w:t xml:space="preserve">, 2021, pp. 6-24</w:t>
            </w:r>
          </w:p>
          <w:p>
            <w:pPr/>
            <w:r>
              <w:rPr/>
              <w:t xml:space="preserve">Article dans une revue</w:t>
            </w:r>
          </w:p>
          <w:p>
            <w:pPr/>
            <w:hyperlink r:id="rId39" w:history="1">
              <w:r>
                <w:rPr>
                  <w:color w:val="#410a8c"/>
                  <w:u w:val="single"/>
                </w:rPr>
                <w:t xml:space="preserve">halshs-04858569v1</w:t>
              </w:r>
            </w:hyperlink>
          </w:p>
        </w:tc>
      </w:tr>
      <w:tr>
        <w:trPr/>
        <w:tc>
          <w:tcPr>
            <w:noWrap/>
          </w:tcPr>
          <w:p>
            <w:pPr>
              <w:spacing w:after="200"/>
            </w:pPr>
            <w:hyperlink r:id="rId40"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2021, 08, pp.432</w:t>
            </w:r>
          </w:p>
          <w:p>
            <w:pPr/>
            <w:r>
              <w:rPr/>
              <w:t xml:space="preserve">Article dans une revue</w:t>
            </w:r>
          </w:p>
          <w:p>
            <w:pPr/>
            <w:hyperlink r:id="rId40" w:history="1">
              <w:r>
                <w:rPr>
                  <w:color w:val="#410a8c"/>
                  <w:u w:val="single"/>
                </w:rPr>
                <w:t xml:space="preserve">halshs-03155073v1</w:t>
              </w:r>
            </w:hyperlink>
          </w:p>
        </w:tc>
      </w:tr>
      <w:tr>
        <w:trPr/>
        <w:tc>
          <w:tcPr>
            <w:noWrap/>
          </w:tcPr>
          <w:p>
            <w:pPr>
              <w:spacing w:after="200"/>
            </w:pPr>
            <w:hyperlink r:id="rId41"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392, pp.217</w:t>
            </w:r>
          </w:p>
          <w:p>
            <w:pPr/>
            <w:r>
              <w:rPr/>
              <w:t xml:space="preserve">Article dans une revue</w:t>
            </w:r>
          </w:p>
          <w:p>
            <w:pPr/>
            <w:hyperlink r:id="rId41" w:history="1">
              <w:r>
                <w:rPr>
                  <w:color w:val="#410a8c"/>
                  <w:u w:val="single"/>
                </w:rPr>
                <w:t xml:space="preserve">halshs-03224586v1</w:t>
              </w:r>
            </w:hyperlink>
          </w:p>
        </w:tc>
      </w:tr>
      <w:tr>
        <w:trPr/>
        <w:tc>
          <w:tcPr>
            <w:noWrap/>
          </w:tcPr>
          <w:p>
            <w:pPr>
              <w:spacing w:after="200"/>
            </w:pPr>
            <w:hyperlink r:id="rId42" w:history="1">
              <w:r>
                <w:rPr>
                  <w:color w:val="1e198e"/>
                  <w:b w:val="1"/>
                  <w:bCs w:val="1"/>
                  <w:u w:val="single"/>
                </w:rPr>
                <w:t xml:space="preserve">La proposition de loi tendant à garantir le droit au respect de la dignité en détention : une avancée en trompe-l'il ?</w:t>
              </w:r>
            </w:hyperlink>
          </w:p>
          <w:p>
            <w:pPr/>
            <w:hyperlink r:id="rId43"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13, pp.736</w:t>
            </w:r>
          </w:p>
          <w:p>
            <w:pPr/>
            <w:r>
              <w:rPr/>
              <w:t xml:space="preserve">Article dans une revue</w:t>
            </w:r>
          </w:p>
          <w:p>
            <w:pPr/>
            <w:hyperlink r:id="rId42" w:history="1">
              <w:r>
                <w:rPr>
                  <w:color w:val="#410a8c"/>
                  <w:u w:val="single"/>
                </w:rPr>
                <w:t xml:space="preserve">halshs-03195948v1</w:t>
              </w:r>
            </w:hyperlink>
          </w:p>
        </w:tc>
      </w:tr>
      <w:tr>
        <w:trPr/>
        <w:tc>
          <w:tcPr>
            <w:noWrap/>
          </w:tcPr>
          <w:p>
            <w:pPr>
              <w:spacing w:after="200"/>
            </w:pPr>
            <w:hyperlink r:id="rId44"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p. 217-222</w:t>
            </w:r>
          </w:p>
          <w:p>
            <w:pPr/>
            <w:r>
              <w:rPr/>
              <w:t xml:space="preserve">Article dans une revue</w:t>
            </w:r>
          </w:p>
          <w:p>
            <w:pPr/>
            <w:hyperlink r:id="rId44" w:history="1">
              <w:r>
                <w:rPr>
                  <w:color w:val="#410a8c"/>
                  <w:u w:val="single"/>
                </w:rPr>
                <w:t xml:space="preserve">halshs-04858583v1</w:t>
              </w:r>
            </w:hyperlink>
          </w:p>
        </w:tc>
      </w:tr>
      <w:tr>
        <w:trPr/>
        <w:tc>
          <w:tcPr>
            <w:noWrap/>
          </w:tcPr>
          <w:p>
            <w:pPr>
              <w:spacing w:after="200"/>
            </w:pPr>
            <w:hyperlink r:id="rId45" w:history="1">
              <w:r>
                <w:rPr>
                  <w:color w:val="1e198e"/>
                  <w:b w:val="1"/>
                  <w:bCs w:val="1"/>
                  <w:u w:val="single"/>
                </w:rPr>
                <w:t xml:space="preserve">La persistance de l'indignité des conditions d'accueil dans les locaux de garde à vue</w:t>
              </w:r>
            </w:hyperlink>
          </w:p>
          <w:p>
            <w:pPr/>
            <w:hyperlink r:id="rId43"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36, pp.1912</w:t>
            </w:r>
          </w:p>
          <w:p>
            <w:pPr/>
            <w:r>
              <w:rPr/>
              <w:t xml:space="preserve">Article dans une revue</w:t>
            </w:r>
          </w:p>
          <w:p>
            <w:pPr/>
            <w:hyperlink r:id="rId45" w:history="1">
              <w:r>
                <w:rPr>
                  <w:color w:val="#410a8c"/>
                  <w:u w:val="single"/>
                </w:rPr>
                <w:t xml:space="preserve">halshs-03385117v1</w:t>
              </w:r>
            </w:hyperlink>
          </w:p>
        </w:tc>
      </w:tr>
      <w:tr>
        <w:trPr/>
        <w:tc>
          <w:tcPr>
            <w:noWrap/>
          </w:tcPr>
          <w:p>
            <w:pPr>
              <w:spacing w:after="200"/>
            </w:pPr>
            <w:hyperlink r:id="rId46" w:history="1">
              <w:r>
                <w:rPr>
                  <w:color w:val="1e198e"/>
                  <w:b w:val="1"/>
                  <w:bCs w:val="1"/>
                  <w:u w:val="single"/>
                </w:rPr>
                <w:t xml:space="preserve">Rapport introductif : la France et la Cour EDH (année 2020)</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2020, chronique n° 29, https://revuedlf.com/droit-fondamentaux/dossier/la-france-et-la-cour-europeenne-des-droits-de-lhomme-jurisprudence-2020-rapport-introductif/</w:t>
            </w:r>
          </w:p>
          <w:p>
            <w:pPr/>
            <w:r>
              <w:rPr/>
              <w:t xml:space="preserve">Article dans une revue</w:t>
            </w:r>
          </w:p>
          <w:p>
            <w:pPr/>
            <w:hyperlink r:id="rId46" w:history="1">
              <w:r>
                <w:rPr>
                  <w:color w:val="#410a8c"/>
                  <w:u w:val="single"/>
                </w:rPr>
                <w:t xml:space="preserve">halshs-04858576v1</w:t>
              </w:r>
            </w:hyperlink>
          </w:p>
        </w:tc>
      </w:tr>
      <w:tr>
        <w:trPr/>
        <w:tc>
          <w:tcPr>
            <w:noWrap/>
          </w:tcPr>
          <w:p>
            <w:pPr>
              <w:spacing w:after="200"/>
            </w:pPr>
            <w:hyperlink r:id="rId47" w:history="1">
              <w:r>
                <w:rPr>
                  <w:color w:val="1e198e"/>
                  <w:b w:val="1"/>
                  <w:bCs w:val="1"/>
                  <w:u w:val="single"/>
                </w:rPr>
                <w:t xml:space="preserve">La dignité reléguée en deuxième division</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i w:val="1"/>
                <w:iCs w:val="1"/>
              </w:rPr>
              <w:t xml:space="preserve">Recueil Dalloz</w:t>
            </w:r>
            <w:r>
              <w:rPr/>
              <w:t xml:space="preserve">, 2020, 03, pp.195</w:t>
            </w:r>
          </w:p>
          <w:p>
            <w:pPr/>
            <w:r>
              <w:rPr/>
              <w:t xml:space="preserve">Article dans une revue</w:t>
            </w:r>
          </w:p>
          <w:p>
            <w:pPr/>
            <w:hyperlink r:id="rId47" w:history="1">
              <w:r>
                <w:rPr>
                  <w:color w:val="#410a8c"/>
                  <w:u w:val="single"/>
                </w:rPr>
                <w:t xml:space="preserve">halshs-02487685v1</w:t>
              </w:r>
            </w:hyperlink>
          </w:p>
        </w:tc>
      </w:tr>
      <w:tr>
        <w:trPr/>
        <w:tc>
          <w:tcPr>
            <w:noWrap/>
          </w:tcPr>
          <w:p>
            <w:pPr>
              <w:spacing w:after="200"/>
            </w:pPr>
            <w:hyperlink r:id="rId48" w:history="1">
              <w:r>
                <w:rPr>
                  <w:color w:val="1e198e"/>
                  <w:b w:val="1"/>
                  <w:bCs w:val="1"/>
                  <w:u w:val="single"/>
                </w:rPr>
                <w:t xml:space="preserve">« Le contrôle de conventionnalité in concreto est-il vraiment dicté par la Convention européenne des droits de l’homme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2019, n° 4</w:t>
            </w:r>
          </w:p>
          <w:p>
            <w:pPr/>
            <w:r>
              <w:rPr/>
              <w:t xml:space="preserve">Article dans une revue</w:t>
            </w:r>
          </w:p>
          <w:p>
            <w:pPr/>
            <w:hyperlink r:id="rId48" w:history="1">
              <w:r>
                <w:rPr>
                  <w:color w:val="#410a8c"/>
                  <w:u w:val="single"/>
                </w:rPr>
                <w:t xml:space="preserve">hal-02076039v1</w:t>
              </w:r>
            </w:hyperlink>
          </w:p>
        </w:tc>
      </w:tr>
      <w:tr>
        <w:trPr/>
        <w:tc>
          <w:tcPr>
            <w:noWrap/>
          </w:tcPr>
          <w:p>
            <w:pPr>
              <w:spacing w:after="200"/>
            </w:pPr>
            <w:hyperlink r:id="rId49" w:history="1">
              <w:r>
                <w:rPr>
                  <w:color w:val="1e198e"/>
                  <w:b w:val="1"/>
                  <w:bCs w:val="1"/>
                  <w:u w:val="single"/>
                </w:rPr>
                <w:t xml:space="preserve">Le renvoi préjudiciel à l'heure de l'entrée en vigueur du protocole n° 16 à la Convention européenne des droits de l'homme</w:t>
              </w:r>
            </w:hyperlink>
          </w:p>
          <w:p>
            <w:pPr/>
            <w:hyperlink r:id="rId18" w:history="1">
              <w:r>
                <w:rPr>
                  <w:color w:val="#410a8c"/>
                  <w:u w:val="single"/>
                </w:rPr>
                <w:t xml:space="preserve">Mustapha Afroukh</w:t>
              </w:r>
            </w:hyperlink>
          </w:p>
          <w:p>
            <w:pPr/>
            <w:r>
              <w:rPr>
                <w:i w:val="1"/>
                <w:iCs w:val="1"/>
              </w:rPr>
              <w:t xml:space="preserve">Revue de l'Union européenne</w:t>
            </w:r>
            <w:r>
              <w:rPr/>
              <w:t xml:space="preserve">, 2019, 631, pp.468</w:t>
            </w:r>
          </w:p>
          <w:p>
            <w:pPr/>
            <w:r>
              <w:rPr/>
              <w:t xml:space="preserve">Article dans une revue</w:t>
            </w:r>
          </w:p>
          <w:p>
            <w:pPr/>
            <w:hyperlink r:id="rId49" w:history="1">
              <w:r>
                <w:rPr>
                  <w:color w:val="#410a8c"/>
                  <w:u w:val="single"/>
                </w:rPr>
                <w:t xml:space="preserve">halshs-02450658v1</w:t>
              </w:r>
            </w:hyperlink>
          </w:p>
        </w:tc>
      </w:tr>
      <w:tr>
        <w:trPr/>
        <w:tc>
          <w:tcPr>
            <w:noWrap/>
          </w:tcPr>
          <w:p>
            <w:pPr>
              <w:spacing w:after="200"/>
            </w:pPr>
            <w:hyperlink r:id="rId50" w:history="1">
              <w:r>
                <w:rPr>
                  <w:color w:val="1e198e"/>
                  <w:b w:val="1"/>
                  <w:bCs w:val="1"/>
                  <w:u w:val="single"/>
                </w:rPr>
                <w:t xml:space="preserve">« L’application de la Charia en Grèce : la fermeté incomprise de la Cour européenne des droits de l’homme (obs. sous CEDH., Gde Ch., arrêt Molla Sali c/ Grèce, 19 décembre 2018)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2019, pp. 925-940</w:t>
            </w:r>
          </w:p>
          <w:p>
            <w:pPr/>
            <w:r>
              <w:rPr/>
              <w:t xml:space="preserve">Article dans une revue</w:t>
            </w:r>
          </w:p>
          <w:p>
            <w:pPr/>
            <w:hyperlink r:id="rId50" w:history="1">
              <w:r>
                <w:rPr>
                  <w:color w:val="#410a8c"/>
                  <w:u w:val="single"/>
                </w:rPr>
                <w:t xml:space="preserve">hal-04860777v1</w:t>
              </w:r>
            </w:hyperlink>
          </w:p>
        </w:tc>
      </w:tr>
      <w:tr>
        <w:trPr/>
        <w:tc>
          <w:tcPr>
            <w:noWrap/>
          </w:tcPr>
          <w:p>
            <w:pPr>
              <w:spacing w:after="200"/>
            </w:pPr>
            <w:hyperlink r:id="rId51" w:history="1">
              <w:r>
                <w:rPr>
                  <w:color w:val="1e198e"/>
                  <w:b w:val="1"/>
                  <w:bCs w:val="1"/>
                  <w:u w:val="single"/>
                </w:rPr>
                <w:t xml:space="preserve">L'amélioration du sort des étrangers malades : ou quand le dialogue des juges prend une forme inversée</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2018, 03, pp.463</w:t>
            </w:r>
          </w:p>
          <w:p>
            <w:pPr/>
            <w:r>
              <w:rPr/>
              <w:t xml:space="preserve">Article dans une revue</w:t>
            </w:r>
          </w:p>
          <w:p>
            <w:pPr/>
            <w:hyperlink r:id="rId51" w:history="1">
              <w:r>
                <w:rPr>
                  <w:color w:val="#410a8c"/>
                  <w:u w:val="single"/>
                </w:rPr>
                <w:t xml:space="preserve">halshs-02237664v1</w:t>
              </w:r>
            </w:hyperlink>
          </w:p>
        </w:tc>
      </w:tr>
      <w:tr>
        <w:trPr/>
        <w:tc>
          <w:tcPr>
            <w:noWrap/>
          </w:tcPr>
          <w:p>
            <w:pPr>
              <w:spacing w:after="200"/>
            </w:pPr>
            <w:hyperlink r:id="rId52" w:history="1">
              <w:r>
                <w:rPr>
                  <w:color w:val="1e198e"/>
                  <w:b w:val="1"/>
                  <w:bCs w:val="1"/>
                  <w:u w:val="single"/>
                </w:rPr>
                <w:t xml:space="preserve">Les critères « Von Hannover n° 2 » dans la jurisprudence récente de la Cour européenne des droits de l’homme : une attractivité équivoque</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2018, n° 115, pp. 593-611</w:t>
            </w:r>
          </w:p>
          <w:p>
            <w:pPr/>
            <w:r>
              <w:rPr/>
              <w:t xml:space="preserve">Article dans une revue</w:t>
            </w:r>
          </w:p>
          <w:p>
            <w:pPr/>
            <w:hyperlink r:id="rId52" w:history="1">
              <w:r>
                <w:rPr>
                  <w:color w:val="#410a8c"/>
                  <w:u w:val="single"/>
                </w:rPr>
                <w:t xml:space="preserve">hal-02076046v1</w:t>
              </w:r>
            </w:hyperlink>
          </w:p>
        </w:tc>
      </w:tr>
      <w:tr>
        <w:trPr/>
        <w:tc>
          <w:tcPr>
            <w:noWrap/>
          </w:tcPr>
          <w:p>
            <w:pPr>
              <w:spacing w:after="200"/>
            </w:pPr>
            <w:hyperlink r:id="rId53" w:history="1">
              <w:r>
                <w:rPr>
                  <w:color w:val="1e198e"/>
                  <w:b w:val="1"/>
                  <w:bCs w:val="1"/>
                  <w:u w:val="single"/>
                </w:rPr>
                <w:t xml:space="preserve">« Non, la Cour européenne n’a pas reconnu l’existence d’un délit de blasphème !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2018, 23</w:t>
            </w:r>
          </w:p>
          <w:p>
            <w:pPr/>
            <w:r>
              <w:rPr/>
              <w:t xml:space="preserve">Article dans une revue</w:t>
            </w:r>
          </w:p>
          <w:p>
            <w:pPr/>
            <w:hyperlink r:id="rId53" w:history="1">
              <w:r>
                <w:rPr>
                  <w:color w:val="#410a8c"/>
                  <w:u w:val="single"/>
                </w:rPr>
                <w:t xml:space="preserve">hal-02076043v1</w:t>
              </w:r>
            </w:hyperlink>
          </w:p>
        </w:tc>
      </w:tr>
      <w:tr>
        <w:trPr/>
        <w:tc>
          <w:tcPr>
            <w:noWrap/>
          </w:tcPr>
          <w:p>
            <w:pPr>
              <w:spacing w:after="200"/>
            </w:pPr>
            <w:hyperlink r:id="rId54" w:history="1">
              <w:r>
                <w:rPr>
                  <w:color w:val="1e198e"/>
                  <w:b w:val="1"/>
                  <w:bCs w:val="1"/>
                  <w:u w:val="single"/>
                </w:rPr>
                <w:t xml:space="preserve">« Abattage rituel et liberté religieuse »</w:t>
              </w:r>
            </w:hyperlink>
          </w:p>
          <w:p>
            <w:pPr/>
            <w:hyperlink r:id="rId18" w:history="1">
              <w:r>
                <w:rPr>
                  <w:color w:val="#410a8c"/>
                  <w:u w:val="single"/>
                </w:rPr>
                <w:t xml:space="preserve">Mustapha Afroukh</w:t>
              </w:r>
            </w:hyperlink>
          </w:p>
          <w:p>
            <w:pPr/>
            <w:r>
              <w:rPr>
                <w:i w:val="1"/>
                <w:iCs w:val="1"/>
              </w:rPr>
              <w:t xml:space="preserve">Revue semestrielle de droit animalier</w:t>
            </w:r>
            <w:r>
              <w:rPr/>
              <w:t xml:space="preserve">, 2018, pp. 423-437</w:t>
            </w:r>
          </w:p>
          <w:p>
            <w:pPr/>
            <w:r>
              <w:rPr/>
              <w:t xml:space="preserve">Article dans une revue</w:t>
            </w:r>
          </w:p>
          <w:p>
            <w:pPr/>
            <w:hyperlink r:id="rId54" w:history="1">
              <w:r>
                <w:rPr>
                  <w:color w:val="#410a8c"/>
                  <w:u w:val="single"/>
                </w:rPr>
                <w:t xml:space="preserve">hal-04860779v1</w:t>
              </w:r>
            </w:hyperlink>
          </w:p>
        </w:tc>
      </w:tr>
      <w:tr>
        <w:trPr/>
        <w:tc>
          <w:tcPr>
            <w:noWrap/>
          </w:tcPr>
          <w:p>
            <w:pPr>
              <w:spacing w:after="200"/>
            </w:pPr>
            <w:hyperlink r:id="rId55" w:history="1">
              <w:r>
                <w:rPr>
                  <w:color w:val="1e198e"/>
                  <w:b w:val="1"/>
                  <w:bCs w:val="1"/>
                  <w:u w:val="single"/>
                </w:rPr>
                <w:t xml:space="preserve">La liberté d'expression face aux discours haineux en ligne dans la jurisprudence de la Cour européenne des droits de l'homme</w:t>
              </w:r>
            </w:hyperlink>
          </w:p>
          <w:p>
            <w:pPr/>
            <w:hyperlink r:id="rId18" w:history="1">
              <w:r>
                <w:rPr>
                  <w:color w:val="#410a8c"/>
                  <w:u w:val="single"/>
                </w:rPr>
                <w:t xml:space="preserve">Mustapha Afroukh</w:t>
              </w:r>
            </w:hyperlink>
          </w:p>
          <w:p>
            <w:pPr/>
            <w:r>
              <w:rPr>
                <w:i w:val="1"/>
                <w:iCs w:val="1"/>
              </w:rPr>
              <w:t xml:space="preserve">Dalloz IP/IT : droit de la propriété intellectuelle et du numérique</w:t>
            </w:r>
            <w:r>
              <w:rPr/>
              <w:t xml:space="preserve">, 2017, 11, pp.575</w:t>
            </w:r>
          </w:p>
          <w:p>
            <w:pPr/>
            <w:r>
              <w:rPr/>
              <w:t xml:space="preserve">Article dans une revue</w:t>
            </w:r>
          </w:p>
          <w:p>
            <w:pPr/>
            <w:hyperlink r:id="rId55" w:history="1">
              <w:r>
                <w:rPr>
                  <w:color w:val="#410a8c"/>
                  <w:u w:val="single"/>
                </w:rPr>
                <w:t xml:space="preserve">halshs-02227405v1</w:t>
              </w:r>
            </w:hyperlink>
          </w:p>
        </w:tc>
      </w:tr>
      <w:tr>
        <w:trPr/>
        <w:tc>
          <w:tcPr>
            <w:noWrap/>
          </w:tcPr>
          <w:p>
            <w:pPr>
              <w:spacing w:after="200"/>
            </w:pPr>
            <w:hyperlink r:id="rId56" w:history="1">
              <w:r>
                <w:rPr>
                  <w:color w:val="1e198e"/>
                  <w:b w:val="1"/>
                  <w:bCs w:val="1"/>
                  <w:u w:val="single"/>
                </w:rPr>
                <w:t xml:space="preserve">« La Cour européenne condamne énergiquement toutes les formes de négationnisme et d'antisémitisme (obs. sous Cour EDH, Gde Ch., 20 octobre 2015, décision M’Bala M’Bala c. France)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2016, pp. 759-774</w:t>
            </w:r>
          </w:p>
          <w:p>
            <w:pPr/>
            <w:r>
              <w:rPr/>
              <w:t xml:space="preserve">Article dans une revue</w:t>
            </w:r>
          </w:p>
          <w:p>
            <w:pPr/>
            <w:hyperlink r:id="rId56" w:history="1">
              <w:r>
                <w:rPr>
                  <w:color w:val="#410a8c"/>
                  <w:u w:val="single"/>
                </w:rPr>
                <w:t xml:space="preserve">hal-04860785v1</w:t>
              </w:r>
            </w:hyperlink>
          </w:p>
        </w:tc>
      </w:tr>
      <w:tr>
        <w:trPr/>
        <w:tc>
          <w:tcPr>
            <w:noWrap/>
          </w:tcPr>
          <w:p>
            <w:pPr>
              <w:spacing w:after="200"/>
            </w:pPr>
            <w:hyperlink r:id="rId57" w:history="1">
              <w:r>
                <w:rPr>
                  <w:color w:val="1e198e"/>
                  <w:b w:val="1"/>
                  <w:bCs w:val="1"/>
                  <w:u w:val="single"/>
                </w:rPr>
                <w:t xml:space="preserve">La fermeté bienvenue du juge européen face à la publication d'une photographie motivée par la recherche du sensationnel</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2016, 339, pp.344</w:t>
            </w:r>
          </w:p>
          <w:p>
            <w:pPr/>
            <w:r>
              <w:rPr/>
              <w:t xml:space="preserve">Article dans une revue</w:t>
            </w:r>
          </w:p>
          <w:p>
            <w:pPr/>
            <w:hyperlink r:id="rId57" w:history="1">
              <w:r>
                <w:rPr>
                  <w:color w:val="#410a8c"/>
                  <w:u w:val="single"/>
                </w:rPr>
                <w:t xml:space="preserve">halshs-02449098v1</w:t>
              </w:r>
            </w:hyperlink>
          </w:p>
        </w:tc>
      </w:tr>
      <w:tr>
        <w:trPr/>
        <w:tc>
          <w:tcPr>
            <w:noWrap/>
          </w:tcPr>
          <w:p>
            <w:pPr>
              <w:spacing w:after="200"/>
            </w:pPr>
            <w:hyperlink r:id="rId58" w:history="1">
              <w:r>
                <w:rPr>
                  <w:color w:val="1e198e"/>
                  <w:b w:val="1"/>
                  <w:bCs w:val="1"/>
                  <w:u w:val="single"/>
                </w:rPr>
                <w:t xml:space="preserve">Référé-liberté et Convention européenne des droits de l'homme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2016, 04, pp.685</w:t>
            </w:r>
          </w:p>
          <w:p>
            <w:pPr/>
            <w:r>
              <w:rPr/>
              <w:t xml:space="preserve">Article dans une revue</w:t>
            </w:r>
          </w:p>
          <w:p>
            <w:pPr/>
            <w:hyperlink r:id="rId58" w:history="1">
              <w:r>
                <w:rPr>
                  <w:color w:val="#410a8c"/>
                  <w:u w:val="single"/>
                </w:rPr>
                <w:t xml:space="preserve">halshs-02243573v1</w:t>
              </w:r>
            </w:hyperlink>
          </w:p>
        </w:tc>
      </w:tr>
      <w:tr>
        <w:trPr/>
        <w:tc>
          <w:tcPr>
            <w:noWrap/>
          </w:tcPr>
          <w:p>
            <w:pPr>
              <w:spacing w:after="200"/>
            </w:pPr>
            <w:hyperlink r:id="rId59" w:history="1">
              <w:r>
                <w:rPr>
                  <w:color w:val="1e198e"/>
                  <w:b w:val="1"/>
                  <w:bCs w:val="1"/>
                  <w:u w:val="single"/>
                </w:rPr>
                <w:t xml:space="preserve">L'interdiction de la dissimulation du visage dans l'espace public : ou quand la subsidiarité permet la coexistence harmonieuse des contrôles de constitutionnalité et de conventionnalité</w:t>
              </w:r>
            </w:hyperlink>
          </w:p>
          <w:p>
            <w:pPr/>
            <w:hyperlink r:id="rId18" w:history="1">
              <w:r>
                <w:rPr>
                  <w:color w:val="#410a8c"/>
                  <w:u w:val="single"/>
                </w:rPr>
                <w:t xml:space="preserve">Mustapha Afroukh</w:t>
              </w:r>
            </w:hyperlink>
          </w:p>
          <w:p>
            <w:pPr/>
            <w:r>
              <w:rPr>
                <w:i w:val="1"/>
                <w:iCs w:val="1"/>
              </w:rPr>
              <w:t xml:space="preserve">Constitutions : Revue de droit constitutionnel appliqué</w:t>
            </w:r>
            <w:r>
              <w:rPr/>
              <w:t xml:space="preserve">, 2015, 04, pp.483</w:t>
            </w:r>
          </w:p>
          <w:p>
            <w:pPr/>
            <w:r>
              <w:rPr/>
              <w:t xml:space="preserve">Article dans une revue</w:t>
            </w:r>
          </w:p>
          <w:p>
            <w:pPr/>
            <w:hyperlink r:id="rId59" w:history="1">
              <w:r>
                <w:rPr>
                  <w:color w:val="#410a8c"/>
                  <w:u w:val="single"/>
                </w:rPr>
                <w:t xml:space="preserve">halshs-02227071v1</w:t>
              </w:r>
            </w:hyperlink>
          </w:p>
        </w:tc>
      </w:tr>
      <w:tr>
        <w:trPr/>
        <w:tc>
          <w:tcPr>
            <w:noWrap/>
          </w:tcPr>
          <w:p>
            <w:pPr>
              <w:spacing w:after="200"/>
            </w:pPr>
            <w:hyperlink r:id="rId60" w:history="1">
              <w:r>
                <w:rPr>
                  <w:color w:val="1e198e"/>
                  <w:b w:val="1"/>
                  <w:bCs w:val="1"/>
                  <w:u w:val="single"/>
                </w:rPr>
                <w:t xml:space="preserve">« L’identification d’une tendance récente à l’objectivisation du contentieux dans le contrôle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1355-1380</w:t>
            </w:r>
          </w:p>
          <w:p>
            <w:pPr/>
            <w:r>
              <w:rPr/>
              <w:t xml:space="preserve">Article dans une revue</w:t>
            </w:r>
          </w:p>
          <w:p>
            <w:pPr/>
            <w:hyperlink r:id="rId60" w:history="1">
              <w:r>
                <w:rPr>
                  <w:color w:val="#410a8c"/>
                  <w:u w:val="single"/>
                </w:rPr>
                <w:t xml:space="preserve">hal-04860791v1</w:t>
              </w:r>
            </w:hyperlink>
          </w:p>
        </w:tc>
      </w:tr>
      <w:tr>
        <w:trPr/>
        <w:tc>
          <w:tcPr>
            <w:noWrap/>
          </w:tcPr>
          <w:p>
            <w:pPr>
              <w:spacing w:after="200"/>
            </w:pPr>
            <w:hyperlink r:id="rId61" w:history="1">
              <w:r>
                <w:rPr>
                  <w:color w:val="1e198e"/>
                  <w:b w:val="1"/>
                  <w:bCs w:val="1"/>
                  <w:u w:val="single"/>
                </w:rPr>
                <w:t xml:space="preserve">Vie privée : confirmation de la logique tentaculaire du débat d'intérêt général au détriment du droit au prénom</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327, pp.291</w:t>
            </w:r>
          </w:p>
          <w:p>
            <w:pPr/>
            <w:r>
              <w:rPr/>
              <w:t xml:space="preserve">Article dans une revue</w:t>
            </w:r>
          </w:p>
          <w:p>
            <w:pPr/>
            <w:hyperlink r:id="rId61" w:history="1">
              <w:r>
                <w:rPr>
                  <w:color w:val="#410a8c"/>
                  <w:u w:val="single"/>
                </w:rPr>
                <w:t xml:space="preserve">halshs-02449034v1</w:t>
              </w:r>
            </w:hyperlink>
          </w:p>
        </w:tc>
      </w:tr>
      <w:tr>
        <w:trPr/>
        <w:tc>
          <w:tcPr>
            <w:noWrap/>
          </w:tcPr>
          <w:p>
            <w:pPr>
              <w:spacing w:after="200"/>
            </w:pPr>
            <w:hyperlink r:id="rId62" w:history="1">
              <w:r>
                <w:rPr>
                  <w:color w:val="1e198e"/>
                  <w:b w:val="1"/>
                  <w:bCs w:val="1"/>
                  <w:u w:val="single"/>
                </w:rPr>
                <w:t xml:space="preserve">« Éloignement des étrangers terroristes et article 3 de la Convention européenne des droits de l’Homme »</w:t>
              </w:r>
            </w:hyperlink>
          </w:p>
          <w:p>
            <w:pPr/>
            <w:hyperlink r:id="rId63" w:history="1">
              <w:r>
                <w:rPr>
                  <w:color w:val="#410a8c"/>
                  <w:u w:val="single"/>
                </w:rPr>
                <w:t xml:space="preserve">Hélène Hurpy</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 N°11</w:t>
            </w:r>
          </w:p>
          <w:p>
            <w:pPr/>
            <w:r>
              <w:rPr/>
              <w:t xml:space="preserve">Article dans une revue</w:t>
            </w:r>
          </w:p>
          <w:p>
            <w:pPr/>
            <w:hyperlink r:id="rId62" w:history="1">
              <w:r>
                <w:rPr>
                  <w:color w:val="#410a8c"/>
                  <w:u w:val="single"/>
                </w:rPr>
                <w:t xml:space="preserve">hal-05062995v1</w:t>
              </w:r>
            </w:hyperlink>
          </w:p>
        </w:tc>
      </w:tr>
      <w:tr>
        <w:trPr/>
        <w:tc>
          <w:tcPr>
            <w:noWrap/>
          </w:tcPr>
          <w:p>
            <w:pPr>
              <w:spacing w:after="200"/>
            </w:pPr>
            <w:hyperlink r:id="rId64" w:history="1">
              <w:r>
                <w:rPr>
                  <w:color w:val="1e198e"/>
                  <w:b w:val="1"/>
                  <w:bCs w:val="1"/>
                  <w:u w:val="single"/>
                </w:rPr>
                <w:t xml:space="preserve">« La compétence – exagérément ? – exclusive de la Cour de justice pour l’examen des recours interétatiques »,</w:t>
              </w:r>
            </w:hyperlink>
          </w:p>
          <w:p>
            <w:pPr/>
            <w:hyperlink r:id="rId18" w:history="1">
              <w:r>
                <w:rPr>
                  <w:color w:val="#410a8c"/>
                  <w:u w:val="single"/>
                </w:rPr>
                <w:t xml:space="preserve">Mustapha Afroukh</w:t>
              </w:r>
            </w:hyperlink>
            <w:r>
              <w:rPr/>
              <w:t xml:space="preserve">,</w:t>
            </w:r>
            <w:hyperlink r:id="rId65" w:history="1">
              <w:r>
                <w:rPr>
                  <w:color w:val="#410a8c"/>
                  <w:u w:val="single"/>
                </w:rPr>
                <w:t xml:space="preserve">Laurent Coutron</w:t>
              </w:r>
            </w:hyperlink>
          </w:p>
          <w:p>
            <w:pPr/>
            <w:r>
              <w:rPr>
                <w:i w:val="1"/>
                <w:iCs w:val="1"/>
              </w:rPr>
              <w:t xml:space="preserve">Revue des Affaires européennes/Law European &amp; Affairs</w:t>
            </w:r>
            <w:r>
              <w:rPr/>
              <w:t xml:space="preserve">, 2015, pp. 45- 68</w:t>
            </w:r>
          </w:p>
          <w:p>
            <w:pPr/>
            <w:r>
              <w:rPr/>
              <w:t xml:space="preserve">Article dans une revue</w:t>
            </w:r>
          </w:p>
          <w:p>
            <w:pPr/>
            <w:hyperlink r:id="rId64" w:history="1">
              <w:r>
                <w:rPr>
                  <w:color w:val="#410a8c"/>
                  <w:u w:val="single"/>
                </w:rPr>
                <w:t xml:space="preserve">hal-04860790v1</w:t>
              </w:r>
            </w:hyperlink>
          </w:p>
        </w:tc>
      </w:tr>
      <w:tr>
        <w:trPr/>
        <w:tc>
          <w:tcPr>
            <w:noWrap/>
          </w:tcPr>
          <w:p>
            <w:pPr>
              <w:spacing w:after="200"/>
            </w:pPr>
            <w:hyperlink r:id="rId66" w:history="1">
              <w:r>
                <w:rPr>
                  <w:color w:val="1e198e"/>
                  <w:b w:val="1"/>
                  <w:bCs w:val="1"/>
                  <w:u w:val="single"/>
                </w:rPr>
                <w:t xml:space="preserve">« L’émergence d’un droit à la sécurité des personnes dans la jurisprudence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139-158</w:t>
            </w:r>
          </w:p>
          <w:p>
            <w:pPr/>
            <w:r>
              <w:rPr/>
              <w:t xml:space="preserve">Article dans une revue</w:t>
            </w:r>
          </w:p>
          <w:p>
            <w:pPr/>
            <w:hyperlink r:id="rId66" w:history="1">
              <w:r>
                <w:rPr>
                  <w:color w:val="#410a8c"/>
                  <w:u w:val="single"/>
                </w:rPr>
                <w:t xml:space="preserve">hal-04860788v1</w:t>
              </w:r>
            </w:hyperlink>
          </w:p>
        </w:tc>
      </w:tr>
      <w:tr>
        <w:trPr/>
        <w:tc>
          <w:tcPr>
            <w:noWrap/>
          </w:tcPr>
          <w:p>
            <w:pPr>
              <w:spacing w:after="200"/>
            </w:pPr>
            <w:hyperlink r:id="rId67" w:history="1">
              <w:r>
                <w:rPr>
                  <w:color w:val="1e198e"/>
                  <w:b w:val="1"/>
                  <w:bCs w:val="1"/>
                  <w:u w:val="single"/>
                </w:rPr>
                <w:t xml:space="preserve">Le débat d'intérêt général au service de la liberté d'expression de l'historien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323, pp.46</w:t>
            </w:r>
          </w:p>
          <w:p>
            <w:pPr/>
            <w:r>
              <w:rPr/>
              <w:t xml:space="preserve">Article dans une revue</w:t>
            </w:r>
          </w:p>
          <w:p>
            <w:pPr/>
            <w:hyperlink r:id="rId67" w:history="1">
              <w:r>
                <w:rPr>
                  <w:color w:val="#410a8c"/>
                  <w:u w:val="single"/>
                </w:rPr>
                <w:t xml:space="preserve">halshs-02449024v1</w:t>
              </w:r>
            </w:hyperlink>
          </w:p>
        </w:tc>
      </w:tr>
      <w:tr>
        <w:trPr/>
        <w:tc>
          <w:tcPr>
            <w:noWrap/>
          </w:tcPr>
          <w:p>
            <w:pPr>
              <w:spacing w:after="200"/>
            </w:pPr>
            <w:hyperlink r:id="rId68" w:history="1">
              <w:r>
                <w:rPr>
                  <w:color w:val="1e198e"/>
                  <w:b w:val="1"/>
                  <w:bCs w:val="1"/>
                  <w:u w:val="single"/>
                </w:rPr>
                <w:t xml:space="preserve">La reconfiguration de l’office du juge de la conventionnalité de la loi</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w:t>
            </w:r>
          </w:p>
          <w:p>
            <w:pPr/>
            <w:r>
              <w:rPr/>
              <w:t xml:space="preserve">Article dans une revue</w:t>
            </w:r>
          </w:p>
          <w:p>
            <w:pPr/>
            <w:hyperlink r:id="rId68" w:history="1">
              <w:r>
                <w:rPr>
                  <w:color w:val="#410a8c"/>
                  <w:u w:val="single"/>
                </w:rPr>
                <w:t xml:space="preserve">hal-03888026v1</w:t>
              </w:r>
            </w:hyperlink>
          </w:p>
        </w:tc>
      </w:tr>
      <w:tr>
        <w:trPr/>
        <w:tc>
          <w:tcPr>
            <w:noWrap/>
          </w:tcPr>
          <w:p>
            <w:pPr>
              <w:spacing w:after="200"/>
            </w:pPr>
            <w:hyperlink r:id="rId69" w:history="1">
              <w:r>
                <w:rPr>
                  <w:color w:val="1e198e"/>
                  <w:b w:val="1"/>
                  <w:bCs w:val="1"/>
                  <w:u w:val="single"/>
                </w:rPr>
                <w:t xml:space="preserve">Le contrôle de l'exécution des arrêts de la Cour européenne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i w:val="1"/>
                <w:iCs w:val="1"/>
              </w:rPr>
              <w:t xml:space="preserve">Revue française de droit administratif</w:t>
            </w:r>
            <w:r>
              <w:rPr/>
              <w:t xml:space="preserve">, 2014, 05, pp.935</w:t>
            </w:r>
          </w:p>
          <w:p>
            <w:pPr/>
            <w:r>
              <w:rPr/>
              <w:t xml:space="preserve">Article dans une revue</w:t>
            </w:r>
          </w:p>
          <w:p>
            <w:pPr/>
            <w:hyperlink r:id="rId69" w:history="1">
              <w:r>
                <w:rPr>
                  <w:color w:val="#410a8c"/>
                  <w:u w:val="single"/>
                </w:rPr>
                <w:t xml:space="preserve">halshs-02243440v1</w:t>
              </w:r>
            </w:hyperlink>
          </w:p>
        </w:tc>
      </w:tr>
      <w:tr>
        <w:trPr/>
        <w:tc>
          <w:tcPr>
            <w:noWrap/>
          </w:tcPr>
          <w:p>
            <w:pPr>
              <w:spacing w:after="200"/>
            </w:pPr>
            <w:hyperlink r:id="rId71" w:history="1">
              <w:r>
                <w:rPr>
                  <w:color w:val="1e198e"/>
                  <w:b w:val="1"/>
                  <w:bCs w:val="1"/>
                  <w:u w:val="single"/>
                </w:rPr>
                <w:t xml:space="preserve">La modulation des peines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04, pp.625</w:t>
            </w:r>
          </w:p>
          <w:p>
            <w:pPr/>
            <w:r>
              <w:rPr/>
              <w:t xml:space="preserve">Article dans une revue</w:t>
            </w:r>
          </w:p>
          <w:p>
            <w:pPr/>
            <w:hyperlink r:id="rId71" w:history="1">
              <w:r>
                <w:rPr>
                  <w:color w:val="#410a8c"/>
                  <w:u w:val="single"/>
                </w:rPr>
                <w:t xml:space="preserve">halshs-02243227v1</w:t>
              </w:r>
            </w:hyperlink>
          </w:p>
        </w:tc>
      </w:tr>
      <w:tr>
        <w:trPr/>
        <w:tc>
          <w:tcPr>
            <w:noWrap/>
          </w:tcPr>
          <w:p>
            <w:pPr>
              <w:spacing w:after="200"/>
            </w:pPr>
            <w:hyperlink r:id="rId72" w:history="1">
              <w:r>
                <w:rPr>
                  <w:color w:val="1e198e"/>
                  <w:b w:val="1"/>
                  <w:bCs w:val="1"/>
                  <w:u w:val="single"/>
                </w:rPr>
                <w:t xml:space="preserve">L'article 2 de la Convention européenne des droits de l'homme dans la jurisprudence administrative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06, pp.1153</w:t>
            </w:r>
          </w:p>
          <w:p>
            <w:pPr/>
            <w:r>
              <w:rPr/>
              <w:t xml:space="preserve">Article dans une revue</w:t>
            </w:r>
          </w:p>
          <w:p>
            <w:pPr/>
            <w:hyperlink r:id="rId72" w:history="1">
              <w:r>
                <w:rPr>
                  <w:color w:val="#410a8c"/>
                  <w:u w:val="single"/>
                </w:rPr>
                <w:t xml:space="preserve">halshs-02243198v1</w:t>
              </w:r>
            </w:hyperlink>
          </w:p>
        </w:tc>
      </w:tr>
      <w:tr>
        <w:trPr/>
        <w:tc>
          <w:tcPr>
            <w:noWrap/>
          </w:tcPr>
          <w:p>
            <w:pPr>
              <w:spacing w:after="200"/>
            </w:pPr>
            <w:hyperlink r:id="rId73" w:history="1">
              <w:r>
                <w:rPr>
                  <w:color w:val="1e198e"/>
                  <w:b w:val="1"/>
                  <w:bCs w:val="1"/>
                  <w:u w:val="single"/>
                </w:rPr>
                <w:t xml:space="preserve">Un nouveau conflit entre la liberté d'expression et la protection de la réputation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2011, 279, pp.50</w:t>
            </w:r>
          </w:p>
          <w:p>
            <w:pPr/>
            <w:r>
              <w:rPr/>
              <w:t xml:space="preserve">Article dans une revue</w:t>
            </w:r>
          </w:p>
          <w:p>
            <w:pPr/>
            <w:hyperlink r:id="rId73" w:history="1">
              <w:r>
                <w:rPr>
                  <w:color w:val="#410a8c"/>
                  <w:u w:val="single"/>
                </w:rPr>
                <w:t xml:space="preserve">halshs-02448749v1</w:t>
              </w:r>
            </w:hyperlink>
          </w:p>
        </w:tc>
      </w:tr>
      <w:tr>
        <w:trPr/>
        <w:tc>
          <w:tcPr>
            <w:noWrap/>
          </w:tcPr>
          <w:p>
            <w:pPr>
              <w:spacing w:after="200"/>
            </w:pPr>
            <w:hyperlink r:id="rId74" w:history="1">
              <w:r>
                <w:rPr>
                  <w:color w:val="1e198e"/>
                  <w:b w:val="1"/>
                  <w:bCs w:val="1"/>
                  <w:u w:val="single"/>
                </w:rPr>
                <w:t xml:space="preserve">Les ayants droit des personnes affiliées au titre de la CMU : la condition de résidence confrontée au contrôle de conventionnalité</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2011, 02, pp.322</w:t>
            </w:r>
          </w:p>
          <w:p>
            <w:pPr/>
            <w:r>
              <w:rPr/>
              <w:t xml:space="preserve">Article dans une revue</w:t>
            </w:r>
          </w:p>
          <w:p>
            <w:pPr/>
            <w:hyperlink r:id="rId74" w:history="1">
              <w:r>
                <w:rPr>
                  <w:color w:val="#410a8c"/>
                  <w:u w:val="single"/>
                </w:rPr>
                <w:t xml:space="preserve">halshs-02237010v1</w:t>
              </w:r>
            </w:hyperlink>
          </w:p>
        </w:tc>
      </w:tr>
      <w:tr>
        <w:trPr/>
        <w:tc>
          <w:tcPr>
            <w:noWrap/>
          </w:tcPr>
          <w:p>
            <w:pPr>
              <w:spacing w:after="200"/>
            </w:pPr>
            <w:hyperlink r:id="rId75" w:history="1">
              <w:r>
                <w:rPr>
                  <w:color w:val="1e198e"/>
                  <w:b w:val="1"/>
                  <w:bCs w:val="1"/>
                  <w:u w:val="single"/>
                </w:rPr>
                <w:t xml:space="preserve">La protection de la vie privée d'un mineur en situation difficile confrontée à la liberté d'expression</w:t>
              </w:r>
            </w:hyperlink>
          </w:p>
          <w:p>
            <w:pPr/>
            <w:hyperlink r:id="rId18" w:history="1">
              <w:r>
                <w:rPr>
                  <w:color w:val="#410a8c"/>
                  <w:u w:val="single"/>
                </w:rPr>
                <w:t xml:space="preserve">Mustapha Afroukh</w:t>
              </w:r>
            </w:hyperlink>
          </w:p>
          <w:p>
            <w:pPr/>
            <w:r>
              <w:rPr>
                <w:i w:val="1"/>
                <w:iCs w:val="1"/>
              </w:rPr>
              <w:t xml:space="preserve">Recueil Dalloz</w:t>
            </w:r>
            <w:r>
              <w:rPr/>
              <w:t xml:space="preserve">, 2011, 29, pp.2012</w:t>
            </w:r>
          </w:p>
          <w:p>
            <w:pPr/>
            <w:r>
              <w:rPr/>
              <w:t xml:space="preserve">Article dans une revue</w:t>
            </w:r>
          </w:p>
          <w:p>
            <w:pPr/>
            <w:hyperlink r:id="rId75" w:history="1">
              <w:r>
                <w:rPr>
                  <w:color w:val="#410a8c"/>
                  <w:u w:val="single"/>
                </w:rPr>
                <w:t xml:space="preserve">halshs-02212587v1</w:t>
              </w:r>
            </w:hyperlink>
          </w:p>
        </w:tc>
      </w:tr>
      <w:tr>
        <w:trPr/>
        <w:tc>
          <w:tcPr>
            <w:noWrap/>
          </w:tcPr>
          <w:p>
            <w:pPr>
              <w:spacing w:after="200"/>
            </w:pPr>
            <w:hyperlink r:id="rId76" w:history="1">
              <w:r>
                <w:rPr>
                  <w:color w:val="1e198e"/>
                  <w:b w:val="1"/>
                  <w:bCs w:val="1"/>
                  <w:u w:val="single"/>
                </w:rPr>
                <w:t xml:space="preserve">Les honoraires d'avocat adressés à une collectivité sont des documents communicables</w:t>
              </w:r>
            </w:hyperlink>
          </w:p>
          <w:p>
            <w:pPr/>
            <w:hyperlink r:id="rId18" w:history="1">
              <w:r>
                <w:rPr>
                  <w:color w:val="#410a8c"/>
                  <w:u w:val="single"/>
                </w:rPr>
                <w:t xml:space="preserve">Mustapha Afroukh</w:t>
              </w:r>
            </w:hyperlink>
          </w:p>
          <w:p>
            <w:pPr/>
            <w:r>
              <w:rPr>
                <w:i w:val="1"/>
                <w:iCs w:val="1"/>
              </w:rPr>
              <w:t xml:space="preserve">Actualité juridique Droit administratif</w:t>
            </w:r>
            <w:r>
              <w:rPr/>
              <w:t xml:space="preserve">, 2008, 41, pp.2287</w:t>
            </w:r>
          </w:p>
          <w:p>
            <w:pPr/>
            <w:r>
              <w:rPr/>
              <w:t xml:space="preserve">Article dans une revue</w:t>
            </w:r>
          </w:p>
          <w:p>
            <w:pPr/>
            <w:hyperlink r:id="rId76" w:history="1">
              <w:r>
                <w:rPr>
                  <w:color w:val="#410a8c"/>
                  <w:u w:val="single"/>
                </w:rPr>
                <w:t xml:space="preserve">halshs-02219268v1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L’arrêt Giniewski</w:t>
              </w:r>
            </w:hyperlink>
          </w:p>
          <w:p>
            <w:pPr/>
            <w:hyperlink r:id="rId78" w:history="1">
              <w:r>
                <w:rPr>
                  <w:color w:val="#410a8c"/>
                  <w:u w:val="single"/>
                </w:rPr>
                <w:t xml:space="preserve">Delphine Costa</w:t>
              </w:r>
            </w:hyperlink>
            <w:r>
              <w:rPr/>
              <w:t xml:space="preserve">,</w:t>
            </w:r>
            <w:hyperlink r:id="rId18" w:history="1">
              <w:r>
                <w:rPr>
                  <w:color w:val="#410a8c"/>
                  <w:u w:val="single"/>
                </w:rPr>
                <w:t xml:space="preserve">Mustapha Afroukh</w:t>
              </w:r>
            </w:hyperlink>
            <w:r>
              <w:rPr/>
              <w:t xml:space="preserve">,</w:t>
            </w:r>
            <w:hyperlink r:id="rId79" w:history="1">
              <w:r>
                <w:rPr>
                  <w:color w:val="#410a8c"/>
                  <w:u w:val="single"/>
                </w:rPr>
                <w:t xml:space="preserve">Michel Levinet</w:t>
              </w:r>
            </w:hyperlink>
            <w:r>
              <w:rPr/>
              <w:t xml:space="preserve">,</w:t>
            </w:r>
            <w:hyperlink r:id="rId21" w:history="1">
              <w:r>
                <w:rPr>
                  <w:color w:val="#410a8c"/>
                  <w:u w:val="single"/>
                </w:rPr>
                <w:t xml:space="preserve">Jean-Pierre Marguénaud</w:t>
              </w:r>
            </w:hyperlink>
          </w:p>
          <w:p>
            <w:pPr/>
            <w:r>
              <w:rPr>
                <w:i w:val="1"/>
                <w:iCs w:val="1"/>
              </w:rPr>
              <w:t xml:space="preserve">Les beaux arrêts de la Cour européenne des droits de l’homme</w:t>
            </w:r>
            <w:r>
              <w:rPr/>
              <w:t xml:space="preserve">, LexisNexis, p. 187-191, 2025, 978-2-7110-4117-6</w:t>
            </w:r>
          </w:p>
          <w:p>
            <w:pPr/>
            <w:r>
              <w:rPr/>
              <w:t xml:space="preserve">Chapitre d'ouvrage</w:t>
            </w:r>
          </w:p>
          <w:p>
            <w:pPr/>
            <w:hyperlink r:id="rId77" w:history="1">
              <w:r>
                <w:rPr>
                  <w:color w:val="#410a8c"/>
                  <w:u w:val="single"/>
                </w:rPr>
                <w:t xml:space="preserve">hal-05438790v1</w:t>
              </w:r>
            </w:hyperlink>
          </w:p>
        </w:tc>
      </w:tr>
      <w:tr>
        <w:trPr/>
        <w:tc>
          <w:tcPr>
            <w:noWrap/>
          </w:tcPr>
          <w:p>
            <w:pPr>
              <w:spacing w:after="200"/>
            </w:pPr>
            <w:hyperlink r:id="rId80" w:history="1">
              <w:r>
                <w:rPr>
                  <w:color w:val="1e198e"/>
                  <w:b w:val="1"/>
                  <w:bCs w:val="1"/>
                  <w:u w:val="single"/>
                </w:rPr>
                <w:t xml:space="preserve">Le pluralisme des approches juridiques</w:t>
              </w:r>
            </w:hyperlink>
          </w:p>
          <w:p>
            <w:pPr/>
            <w:hyperlink r:id="rId18" w:history="1">
              <w:r>
                <w:rPr>
                  <w:color w:val="#410a8c"/>
                  <w:u w:val="single"/>
                </w:rPr>
                <w:t xml:space="preserve">Mustapha Afroukh</w:t>
              </w:r>
            </w:hyperlink>
          </w:p>
          <w:p>
            <w:pPr/>
            <w:r>
              <w:rPr/>
              <w:t xml:space="preserve">Y. Lécuyer et M. Beulay. </w:t>
            </w:r>
            <w:r>
              <w:rPr>
                <w:i w:val="1"/>
                <w:iCs w:val="1"/>
              </w:rPr>
              <w:t xml:space="preserve">La pratique des opinions séparées à la Cour européenne des droits de l’homme</w:t>
            </w:r>
            <w:r>
              <w:rPr/>
              <w:t xml:space="preserve">, Pedone, 2024</w:t>
            </w:r>
          </w:p>
          <w:p>
            <w:pPr/>
            <w:r>
              <w:rPr/>
              <w:t xml:space="preserve">Chapitre d'ouvrage</w:t>
            </w:r>
          </w:p>
          <w:p>
            <w:pPr/>
            <w:hyperlink r:id="rId80" w:history="1">
              <w:r>
                <w:rPr>
                  <w:color w:val="#410a8c"/>
                  <w:u w:val="single"/>
                </w:rPr>
                <w:t xml:space="preserve">halshs-04858302v1</w:t>
              </w:r>
            </w:hyperlink>
          </w:p>
        </w:tc>
      </w:tr>
      <w:tr>
        <w:trPr/>
        <w:tc>
          <w:tcPr>
            <w:noWrap/>
          </w:tcPr>
          <w:p>
            <w:pPr>
              <w:spacing w:after="200"/>
            </w:pPr>
            <w:hyperlink r:id="rId81" w:history="1">
              <w:r>
                <w:rPr>
                  <w:color w:val="1e198e"/>
                  <w:b w:val="1"/>
                  <w:bCs w:val="1"/>
                  <w:u w:val="single"/>
                </w:rPr>
                <w:t xml:space="preserve">Présentation</w:t>
              </w:r>
            </w:hyperlink>
          </w:p>
          <w:p>
            <w:pPr/>
            <w:hyperlink r:id="rId18" w:history="1">
              <w:r>
                <w:rPr>
                  <w:color w:val="#410a8c"/>
                  <w:u w:val="single"/>
                </w:rPr>
                <w:t xml:space="preserve">Mustapha Afroukh</w:t>
              </w:r>
            </w:hyperlink>
          </w:p>
          <w:p>
            <w:pPr/>
            <w:r>
              <w:rPr>
                <w:i w:val="1"/>
                <w:iCs w:val="1"/>
              </w:rPr>
              <w:t xml:space="preserve">En finir avec les idées reçues sur la Convention européenne des droits de l'homme</w:t>
            </w:r>
            <w:r>
              <w:rPr/>
              <w:t xml:space="preserve">, Mare et Martin, pp. 85-104, 2024</w:t>
            </w:r>
          </w:p>
          <w:p>
            <w:pPr/>
            <w:r>
              <w:rPr/>
              <w:t xml:space="preserve">Chapitre d'ouvrage</w:t>
            </w:r>
          </w:p>
          <w:p>
            <w:pPr/>
            <w:hyperlink r:id="rId81" w:history="1">
              <w:r>
                <w:rPr>
                  <w:color w:val="#410a8c"/>
                  <w:u w:val="single"/>
                </w:rPr>
                <w:t xml:space="preserve">halshs-04858303v1</w:t>
              </w:r>
            </w:hyperlink>
          </w:p>
        </w:tc>
      </w:tr>
      <w:tr>
        <w:trPr/>
        <w:tc>
          <w:tcPr>
            <w:noWrap/>
          </w:tcPr>
          <w:p>
            <w:pPr>
              <w:spacing w:after="200"/>
            </w:pPr>
            <w:hyperlink r:id="rId82" w:history="1">
              <w:r>
                <w:rPr>
                  <w:color w:val="1e198e"/>
                  <w:b w:val="1"/>
                  <w:bCs w:val="1"/>
                  <w:u w:val="single"/>
                </w:rPr>
                <w:t xml:space="preserve">L’universalisme des droits de l’homme malade de la liberté religieuse ?</w:t>
              </w:r>
            </w:hyperlink>
          </w:p>
          <w:p>
            <w:pPr/>
            <w:hyperlink r:id="rId18" w:history="1">
              <w:r>
                <w:rPr>
                  <w:color w:val="#410a8c"/>
                  <w:u w:val="single"/>
                </w:rPr>
                <w:t xml:space="preserve">Mustapha Afroukh</w:t>
              </w:r>
            </w:hyperlink>
          </w:p>
          <w:p>
            <w:pPr/>
            <w:r>
              <w:rPr/>
              <w:t xml:space="preserve">G. Gonzalez. </w:t>
            </w:r>
            <w:r>
              <w:rPr>
                <w:i w:val="1"/>
                <w:iCs w:val="1"/>
              </w:rPr>
              <w:t xml:space="preserve">30 ans après Kokkinakis contre Grèce : la construction prétorienne d'un droit européen des religions</w:t>
            </w:r>
            <w:r>
              <w:rPr/>
              <w:t xml:space="preserve">, Mare et Martin, pp. 199-216., 2024</w:t>
            </w:r>
          </w:p>
          <w:p>
            <w:pPr/>
            <w:r>
              <w:rPr/>
              <w:t xml:space="preserve">Chapitre d'ouvrage</w:t>
            </w:r>
          </w:p>
          <w:p>
            <w:pPr/>
            <w:hyperlink r:id="rId82" w:history="1">
              <w:r>
                <w:rPr>
                  <w:color w:val="#410a8c"/>
                  <w:u w:val="single"/>
                </w:rPr>
                <w:t xml:space="preserve">halshs-04858300v1</w:t>
              </w:r>
            </w:hyperlink>
          </w:p>
        </w:tc>
      </w:tr>
      <w:tr>
        <w:trPr/>
        <w:tc>
          <w:tcPr>
            <w:noWrap/>
          </w:tcPr>
          <w:p>
            <w:pPr>
              <w:spacing w:after="200"/>
            </w:pPr>
            <w:hyperlink r:id="rId83" w:history="1">
              <w:r>
                <w:rPr>
                  <w:color w:val="1e198e"/>
                  <w:b w:val="1"/>
                  <w:bCs w:val="1"/>
                  <w:u w:val="single"/>
                </w:rPr>
                <w:t xml:space="preserve">« Les droits de l’homme et l’obligation de prévention dans le système de la Convention européenne des droits de l’homme »</w:t>
              </w:r>
            </w:hyperlink>
          </w:p>
          <w:p>
            <w:pPr/>
            <w:hyperlink r:id="rId18" w:history="1">
              <w:r>
                <w:rPr>
                  <w:color w:val="#410a8c"/>
                  <w:u w:val="single"/>
                </w:rPr>
                <w:t xml:space="preserve">Mustapha Afroukh</w:t>
              </w:r>
            </w:hyperlink>
          </w:p>
          <w:p>
            <w:pPr/>
            <w:r>
              <w:rPr/>
              <w:t xml:space="preserve">C. Picheral. </w:t>
            </w:r>
            <w:r>
              <w:rPr>
                <w:i w:val="1"/>
                <w:iCs w:val="1"/>
              </w:rPr>
              <w:t xml:space="preserve">Les droits de l’homme face aux risques pour l’humanité</w:t>
            </w:r>
            <w:r>
              <w:rPr/>
              <w:t xml:space="preserve">, Lexisnexis, pp. 93-106., 2022</w:t>
            </w:r>
          </w:p>
          <w:p>
            <w:pPr/>
            <w:r>
              <w:rPr/>
              <w:t xml:space="preserve">Chapitre d'ouvrage</w:t>
            </w:r>
          </w:p>
          <w:p>
            <w:pPr/>
            <w:hyperlink r:id="rId83" w:history="1">
              <w:r>
                <w:rPr>
                  <w:color w:val="#410a8c"/>
                  <w:u w:val="single"/>
                </w:rPr>
                <w:t xml:space="preserve">halshs-04858305v1</w:t>
              </w:r>
            </w:hyperlink>
          </w:p>
        </w:tc>
      </w:tr>
      <w:tr>
        <w:trPr/>
        <w:tc>
          <w:tcPr>
            <w:noWrap/>
          </w:tcPr>
          <w:p>
            <w:pPr>
              <w:spacing w:after="200"/>
            </w:pPr>
            <w:hyperlink r:id="rId84" w:history="1">
              <w:r>
                <w:rPr>
                  <w:color w:val="1e198e"/>
                  <w:b w:val="1"/>
                  <w:bCs w:val="1"/>
                  <w:u w:val="single"/>
                </w:rPr>
                <w:t xml:space="preserve">L’appel éloquent du juge Pinto de Albuquerque à la protection des étrangers vulnérables</w:t>
              </w:r>
            </w:hyperlink>
          </w:p>
          <w:p>
            <w:pPr/>
            <w:hyperlink r:id="rId70" w:history="1">
              <w:r>
                <w:rPr>
                  <w:color w:val="#410a8c"/>
                  <w:u w:val="single"/>
                </w:rPr>
                <w:t xml:space="preserve">Aurélia Schahmaneche</w:t>
              </w:r>
            </w:hyperlink>
            <w:r>
              <w:rPr/>
              <w:t xml:space="preserve">,</w:t>
            </w:r>
            <w:hyperlink r:id="rId18" w:history="1">
              <w:r>
                <w:rPr>
                  <w:color w:val="#410a8c"/>
                  <w:u w:val="single"/>
                </w:rPr>
                <w:t xml:space="preserve">Mustapha Afroukh</w:t>
              </w:r>
            </w:hyperlink>
          </w:p>
          <w:p>
            <w:pPr/>
            <w:r>
              <w:rPr/>
              <w:t xml:space="preserve">P. Pinto de Albuquerque. </w:t>
            </w:r>
            <w:r>
              <w:rPr>
                <w:i w:val="1"/>
                <w:iCs w:val="1"/>
              </w:rPr>
              <w:t xml:space="preserve">Droits de l’homme : les opinions séparées vue par la doctrine</w:t>
            </w:r>
            <w:r>
              <w:rPr/>
              <w:t xml:space="preserve">, Lexis Nexis, 2020, 978-2-7110-3394-2</w:t>
            </w:r>
          </w:p>
          <w:p>
            <w:pPr/>
            <w:r>
              <w:rPr/>
              <w:t xml:space="preserve">Chapitre d'ouvrage</w:t>
            </w:r>
          </w:p>
          <w:p>
            <w:pPr/>
            <w:hyperlink r:id="rId84" w:history="1">
              <w:r>
                <w:rPr>
                  <w:color w:val="#410a8c"/>
                  <w:u w:val="single"/>
                </w:rPr>
                <w:t xml:space="preserve">hal-03969370v1</w:t>
              </w:r>
            </w:hyperlink>
          </w:p>
        </w:tc>
      </w:tr>
      <w:tr>
        <w:trPr/>
        <w:tc>
          <w:tcPr>
            <w:noWrap/>
          </w:tcPr>
          <w:p>
            <w:pPr>
              <w:spacing w:after="200"/>
            </w:pPr>
            <w:hyperlink r:id="rId85" w:history="1">
              <w:r>
                <w:rPr>
                  <w:color w:val="1e198e"/>
                  <w:b w:val="1"/>
                  <w:bCs w:val="1"/>
                  <w:u w:val="single"/>
                </w:rPr>
                <w:t xml:space="preserve">L’appel éloquent du juge Pinto De Albuquerque à la protection des étrangers vulnérables</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P. De Albuquerque. </w:t>
            </w:r>
            <w:r>
              <w:rPr>
                <w:i w:val="1"/>
                <w:iCs w:val="1"/>
              </w:rPr>
              <w:t xml:space="preserve">Droits de l’homme. Les opinions séparées vues par la doctrine,</w:t>
            </w:r>
            <w:r>
              <w:rPr/>
              <w:t xml:space="preserve">, Lexisnexis, pp. 663-667., 2020</w:t>
            </w:r>
          </w:p>
          <w:p>
            <w:pPr/>
            <w:r>
              <w:rPr/>
              <w:t xml:space="preserve">Chapitre d'ouvrage</w:t>
            </w:r>
          </w:p>
          <w:p>
            <w:pPr/>
            <w:hyperlink r:id="rId85" w:history="1">
              <w:r>
                <w:rPr>
                  <w:color w:val="#410a8c"/>
                  <w:u w:val="single"/>
                </w:rPr>
                <w:t xml:space="preserve">halshs-04858566v1</w:t>
              </w:r>
            </w:hyperlink>
          </w:p>
        </w:tc>
      </w:tr>
      <w:tr>
        <w:trPr/>
        <w:tc>
          <w:tcPr>
            <w:noWrap/>
          </w:tcPr>
          <w:p>
            <w:pPr>
              <w:spacing w:after="200"/>
            </w:pPr>
            <w:hyperlink r:id="rId86" w:history="1">
              <w:r>
                <w:rPr>
                  <w:color w:val="1e198e"/>
                  <w:b w:val="1"/>
                  <w:bCs w:val="1"/>
                  <w:u w:val="single"/>
                </w:rPr>
                <w:t xml:space="preserve">Les rapports entre la question prioritaire de constitutionnalité et le contrôle de conventionnalité</w:t>
              </w:r>
            </w:hyperlink>
          </w:p>
          <w:p>
            <w:pPr/>
            <w:hyperlink r:id="rId18" w:history="1">
              <w:r>
                <w:rPr>
                  <w:color w:val="#410a8c"/>
                  <w:u w:val="single"/>
                </w:rPr>
                <w:t xml:space="preserve">Mustapha Afroukh</w:t>
              </w:r>
            </w:hyperlink>
          </w:p>
          <w:p>
            <w:pPr/>
            <w:r>
              <w:rPr/>
              <w:t xml:space="preserve">K. Foucher. </w:t>
            </w:r>
            <w:r>
              <w:rPr>
                <w:i w:val="1"/>
                <w:iCs w:val="1"/>
              </w:rPr>
              <w:t xml:space="preserve">L’apport de la QPC à la protection des droits et libertés</w:t>
            </w:r>
            <w:r>
              <w:rPr/>
              <w:t xml:space="preserve">, Dalloz, p. 5-20., 2020</w:t>
            </w:r>
          </w:p>
          <w:p>
            <w:pPr/>
            <w:r>
              <w:rPr/>
              <w:t xml:space="preserve">Chapitre d'ouvrage</w:t>
            </w:r>
          </w:p>
          <w:p>
            <w:pPr/>
            <w:hyperlink r:id="rId86" w:history="1">
              <w:r>
                <w:rPr>
                  <w:color w:val="#410a8c"/>
                  <w:u w:val="single"/>
                </w:rPr>
                <w:t xml:space="preserve">halshs-04858561v1</w:t>
              </w:r>
            </w:hyperlink>
          </w:p>
        </w:tc>
      </w:tr>
      <w:tr>
        <w:trPr/>
        <w:tc>
          <w:tcPr>
            <w:noWrap/>
          </w:tcPr>
          <w:p>
            <w:pPr>
              <w:spacing w:after="200"/>
            </w:pPr>
            <w:hyperlink r:id="rId87" w:history="1">
              <w:r>
                <w:rPr>
                  <w:color w:val="1e198e"/>
                  <w:b w:val="1"/>
                  <w:bCs w:val="1"/>
                  <w:u w:val="single"/>
                </w:rPr>
                <w:t xml:space="preserve">La fonction consultative des autres Cours supranationales protectrices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M. Afroukh et J.-P. Marguénaud. </w:t>
            </w:r>
            <w:r>
              <w:rPr>
                <w:i w:val="1"/>
                <w:iCs w:val="1"/>
              </w:rPr>
              <w:t xml:space="preserve">Le Protocole n° 16 à la Convention européenne des droits de l’homme</w:t>
            </w:r>
            <w:r>
              <w:rPr/>
              <w:t xml:space="preserve">, Pedone, pp. 33-71, 2020</w:t>
            </w:r>
          </w:p>
          <w:p>
            <w:pPr/>
            <w:r>
              <w:rPr/>
              <w:t xml:space="preserve">Chapitre d'ouvrage</w:t>
            </w:r>
          </w:p>
          <w:p>
            <w:pPr/>
            <w:hyperlink r:id="rId87" w:history="1">
              <w:r>
                <w:rPr>
                  <w:color w:val="#410a8c"/>
                  <w:u w:val="single"/>
                </w:rPr>
                <w:t xml:space="preserve">halshs-04858558v1</w:t>
              </w:r>
            </w:hyperlink>
          </w:p>
        </w:tc>
      </w:tr>
      <w:tr>
        <w:trPr/>
        <w:tc>
          <w:tcPr>
            <w:noWrap/>
          </w:tcPr>
          <w:p>
            <w:pPr>
              <w:spacing w:after="200"/>
            </w:pPr>
            <w:hyperlink r:id="rId88" w:history="1">
              <w:r>
                <w:rPr>
                  <w:color w:val="1e198e"/>
                  <w:b w:val="1"/>
                  <w:bCs w:val="1"/>
                  <w:u w:val="single"/>
                </w:rPr>
                <w:t xml:space="preserve">La sécurité, facteur de développement d'une politique de santé publique; l'exemple de l'Union européenne</w:t>
              </w:r>
            </w:hyperlink>
          </w:p>
          <w:p>
            <w:pPr/>
            <w:hyperlink r:id="rId89" w:history="1">
              <w:r>
                <w:rPr>
                  <w:color w:val="#410a8c"/>
                  <w:u w:val="single"/>
                </w:rPr>
                <w:t xml:space="preserve">Marc Blanquet</w:t>
              </w:r>
            </w:hyperlink>
            <w:r>
              <w:rPr/>
              <w:t xml:space="preserve">,</w:t>
            </w:r>
            <w:hyperlink r:id="rId90" w:history="1">
              <w:r>
                <w:rPr>
                  <w:color w:val="#410a8c"/>
                  <w:u w:val="single"/>
                </w:rPr>
                <w:t xml:space="preserve">Nathalie de Grove-Valdeyron</w:t>
              </w:r>
            </w:hyperlink>
            <w:r>
              <w:rPr/>
              <w:t xml:space="preserve">,</w:t>
            </w: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i w:val="1"/>
                <w:iCs w:val="1"/>
              </w:rPr>
              <w:t xml:space="preserve">La sécurité: mutations et incertitudes</w:t>
            </w:r>
            <w:r>
              <w:rPr/>
              <w:t xml:space="preserve">, Institut Universitaire Varenne, pp.139-169, 2019, 978-2370322043</w:t>
            </w:r>
          </w:p>
          <w:p>
            <w:pPr/>
            <w:r>
              <w:rPr/>
              <w:t xml:space="preserve">Chapitre d'ouvrage</w:t>
            </w:r>
          </w:p>
          <w:p>
            <w:pPr/>
            <w:hyperlink r:id="rId88" w:history="1">
              <w:r>
                <w:rPr>
                  <w:color w:val="#410a8c"/>
                  <w:u w:val="single"/>
                </w:rPr>
                <w:t xml:space="preserve">hal-02518406v1</w:t>
              </w:r>
            </w:hyperlink>
          </w:p>
        </w:tc>
      </w:tr>
      <w:tr>
        <w:trPr/>
        <w:tc>
          <w:tcPr>
            <w:noWrap/>
          </w:tcPr>
          <w:p>
            <w:pPr>
              <w:spacing w:after="200"/>
            </w:pPr>
            <w:hyperlink r:id="rId93" w:history="1">
              <w:r>
                <w:rPr>
                  <w:color w:val="1e198e"/>
                  <w:b w:val="1"/>
                  <w:bCs w:val="1"/>
                  <w:u w:val="single"/>
                </w:rPr>
                <w:t xml:space="preserve">Éléments sur l’inscription de l’insécurité sur l’agenda public</w:t>
              </w:r>
            </w:hyperlink>
          </w:p>
          <w:p>
            <w:pPr/>
            <w:hyperlink r:id="rId94" w:history="1">
              <w:r>
                <w:rPr>
                  <w:color w:val="#410a8c"/>
                  <w:u w:val="single"/>
                </w:rPr>
                <w:t xml:space="preserve">François Dieu</w:t>
              </w:r>
            </w:hyperlink>
            <w:r>
              <w:rPr/>
              <w:t xml:space="preserve">,</w:t>
            </w:r>
            <w:hyperlink r:id="rId18" w:history="1">
              <w:r>
                <w:rPr>
                  <w:color w:val="#410a8c"/>
                  <w:u w:val="single"/>
                </w:rPr>
                <w:t xml:space="preserve">Mustapha Afroukh</w:t>
              </w:r>
            </w:hyperlink>
            <w:r>
              <w:rPr/>
              <w:t xml:space="preserve">,</w:t>
            </w:r>
            <w:hyperlink r:id="rId95" w:history="1">
              <w:r>
                <w:rPr>
                  <w:color w:val="#410a8c"/>
                  <w:u w:val="single"/>
                </w:rPr>
                <w:t xml:space="preserve">Christophe Maubenard</w:t>
              </w:r>
            </w:hyperlink>
            <w:r>
              <w:rPr/>
              <w:t xml:space="preserve">,</w:t>
            </w:r>
            <w:hyperlink r:id="rId92" w:history="1">
              <w:r>
                <w:rPr>
                  <w:color w:val="#410a8c"/>
                  <w:u w:val="single"/>
                </w:rPr>
                <w:t xml:space="preserve">Claire Vial</w:t>
              </w:r>
            </w:hyperlink>
          </w:p>
          <w:p>
            <w:pPr/>
            <w:r>
              <w:rPr>
                <w:i w:val="1"/>
                <w:iCs w:val="1"/>
              </w:rPr>
              <w:t xml:space="preserve">La sécurité : mutations et incertitudes</w:t>
            </w:r>
            <w:r>
              <w:rPr/>
              <w:t xml:space="preserve">, Institut Universitaire Varenne, pp.61-73, 2019, 978-2-37032-204-3</w:t>
            </w:r>
          </w:p>
          <w:p>
            <w:pPr/>
            <w:r>
              <w:rPr/>
              <w:t xml:space="preserve">Chapitre d'ouvrage</w:t>
            </w:r>
          </w:p>
          <w:p>
            <w:pPr/>
            <w:hyperlink r:id="rId93" w:history="1">
              <w:r>
                <w:rPr>
                  <w:color w:val="#410a8c"/>
                  <w:u w:val="single"/>
                </w:rPr>
                <w:t xml:space="preserve">hal-02459826v1</w:t>
              </w:r>
            </w:hyperlink>
          </w:p>
        </w:tc>
      </w:tr>
      <w:tr>
        <w:trPr/>
        <w:tc>
          <w:tcPr>
            <w:noWrap/>
          </w:tcPr>
          <w:p>
            <w:pPr>
              <w:spacing w:after="200"/>
            </w:pPr>
            <w:hyperlink r:id="rId96" w:history="1">
              <w:r>
                <w:rPr>
                  <w:color w:val="1e198e"/>
                  <w:b w:val="1"/>
                  <w:bCs w:val="1"/>
                  <w:u w:val="single"/>
                </w:rPr>
                <w:t xml:space="preserve">« La radicalisation saisie par la Cour européenne des droits de l’homme »</w:t>
              </w:r>
            </w:hyperlink>
          </w:p>
          <w:p>
            <w:pPr/>
            <w:hyperlink r:id="rId18" w:history="1">
              <w:r>
                <w:rPr>
                  <w:color w:val="#410a8c"/>
                  <w:u w:val="single"/>
                </w:rPr>
                <w:t xml:space="preserve">Mustapha Afroukh</w:t>
              </w:r>
            </w:hyperlink>
          </w:p>
          <w:p>
            <w:pPr/>
            <w:r>
              <w:rPr/>
              <w:t xml:space="preserve">O. Bui-Xuan. </w:t>
            </w:r>
            <w:r>
              <w:rPr>
                <w:i w:val="1"/>
                <w:iCs w:val="1"/>
              </w:rPr>
              <w:t xml:space="preserve">La radicalisation saisie par le droit</w:t>
            </w:r>
            <w:r>
              <w:rPr/>
              <w:t xml:space="preserve">, Institut universitaire varenne, pp. 183-196., 2018</w:t>
            </w:r>
          </w:p>
          <w:p>
            <w:pPr/>
            <w:r>
              <w:rPr/>
              <w:t xml:space="preserve">Chapitre d'ouvrage</w:t>
            </w:r>
          </w:p>
          <w:p>
            <w:pPr/>
            <w:hyperlink r:id="rId96" w:history="1">
              <w:r>
                <w:rPr>
                  <w:color w:val="#410a8c"/>
                  <w:u w:val="single"/>
                </w:rPr>
                <w:t xml:space="preserve">hal-04860817v1</w:t>
              </w:r>
            </w:hyperlink>
          </w:p>
        </w:tc>
      </w:tr>
      <w:tr>
        <w:trPr/>
        <w:tc>
          <w:tcPr>
            <w:noWrap/>
          </w:tcPr>
          <w:p>
            <w:pPr>
              <w:spacing w:after="200"/>
            </w:pPr>
            <w:hyperlink r:id="rId97" w:history="1">
              <w:r>
                <w:rPr>
                  <w:color w:val="1e198e"/>
                  <w:b w:val="1"/>
                  <w:bCs w:val="1"/>
                  <w:u w:val="single"/>
                </w:rPr>
                <w:t xml:space="preserve">« La Convention européenne des droits de l’homme, facteur de concurrence dans le cadre de la QPC »</w:t>
              </w:r>
            </w:hyperlink>
          </w:p>
          <w:p>
            <w:pPr/>
            <w:hyperlink r:id="rId18" w:history="1">
              <w:r>
                <w:rPr>
                  <w:color w:val="#410a8c"/>
                  <w:u w:val="single"/>
                </w:rPr>
                <w:t xml:space="preserve">Mustapha Afroukh</w:t>
              </w:r>
            </w:hyperlink>
          </w:p>
          <w:p>
            <w:pPr/>
            <w:r>
              <w:rPr/>
              <w:t xml:space="preserve">P.-Y. Monjal, p. Jan et C. Geslot (dir.). </w:t>
            </w:r>
            <w:r>
              <w:rPr>
                <w:i w:val="1"/>
                <w:iCs w:val="1"/>
              </w:rPr>
              <w:t xml:space="preserve">La concurrence des juges. Le dialogue des juges en question(s)</w:t>
            </w:r>
            <w:r>
              <w:rPr/>
              <w:t xml:space="preserve">, Clément Juglar, pp. 451-461., 2018</w:t>
            </w:r>
          </w:p>
          <w:p>
            <w:pPr/>
            <w:r>
              <w:rPr/>
              <w:t xml:space="preserve">Chapitre d'ouvrage</w:t>
            </w:r>
          </w:p>
          <w:p>
            <w:pPr/>
            <w:hyperlink r:id="rId97" w:history="1">
              <w:r>
                <w:rPr>
                  <w:color w:val="#410a8c"/>
                  <w:u w:val="single"/>
                </w:rPr>
                <w:t xml:space="preserve">hal-04860820v1</w:t>
              </w:r>
            </w:hyperlink>
          </w:p>
        </w:tc>
      </w:tr>
      <w:tr>
        <w:trPr/>
        <w:tc>
          <w:tcPr>
            <w:noWrap/>
          </w:tcPr>
          <w:p>
            <w:pPr>
              <w:spacing w:after="200"/>
            </w:pPr>
            <w:hyperlink r:id="rId98" w:history="1">
              <w:r>
                <w:rPr>
                  <w:color w:val="1e198e"/>
                  <w:b w:val="1"/>
                  <w:bCs w:val="1"/>
                  <w:u w:val="single"/>
                </w:rPr>
                <w:t xml:space="preserve">« L’appréhension détournée de la subsidiarité par le biais des critères d’appréciation de la proportionnalité »</w:t>
              </w:r>
            </w:hyperlink>
          </w:p>
          <w:p>
            <w:pPr/>
            <w:hyperlink r:id="rId18" w:history="1">
              <w:r>
                <w:rPr>
                  <w:color w:val="#410a8c"/>
                  <w:u w:val="single"/>
                </w:rPr>
                <w:t xml:space="preserve">Mustapha Afroukh</w:t>
              </w:r>
            </w:hyperlink>
          </w:p>
          <w:p>
            <w:pPr/>
            <w:r>
              <w:rPr/>
              <w:t xml:space="preserve">G. Gonzalez (dir.). </w:t>
            </w:r>
            <w:r>
              <w:rPr>
                <w:i w:val="1"/>
                <w:iCs w:val="1"/>
              </w:rPr>
              <w:t xml:space="preserve">La subsidiarité conventionnelle en question, Essai de systématisation</w:t>
            </w:r>
            <w:r>
              <w:rPr/>
              <w:t xml:space="preserve">, Anthemis, coll. « Droit et justice », pp. 92-108., 2017</w:t>
            </w:r>
          </w:p>
          <w:p>
            <w:pPr/>
            <w:r>
              <w:rPr/>
              <w:t xml:space="preserve">Chapitre d'ouvrage</w:t>
            </w:r>
          </w:p>
          <w:p>
            <w:pPr/>
            <w:hyperlink r:id="rId98" w:history="1">
              <w:r>
                <w:rPr>
                  <w:color w:val="#410a8c"/>
                  <w:u w:val="single"/>
                </w:rPr>
                <w:t xml:space="preserve">hal-04860795v1</w:t>
              </w:r>
            </w:hyperlink>
          </w:p>
        </w:tc>
      </w:tr>
      <w:tr>
        <w:trPr/>
        <w:tc>
          <w:tcPr>
            <w:noWrap/>
          </w:tcPr>
          <w:p>
            <w:pPr>
              <w:spacing w:after="200"/>
            </w:pPr>
            <w:hyperlink r:id="rId99" w:history="1">
              <w:r>
                <w:rPr>
                  <w:color w:val="1e198e"/>
                  <w:b w:val="1"/>
                  <w:bCs w:val="1"/>
                  <w:u w:val="single"/>
                </w:rPr>
                <w:t xml:space="preserve">« L’autonomie de la question prioritaire de constitutionnalité »</w:t>
              </w:r>
            </w:hyperlink>
          </w:p>
          <w:p>
            <w:pPr/>
            <w:hyperlink r:id="rId18" w:history="1">
              <w:r>
                <w:rPr>
                  <w:color w:val="#410a8c"/>
                  <w:u w:val="single"/>
                </w:rPr>
                <w:t xml:space="preserve">Mustapha Afroukh</w:t>
              </w:r>
            </w:hyperlink>
          </w:p>
          <w:p>
            <w:pPr/>
            <w:r>
              <w:rPr/>
              <w:t xml:space="preserve">R. Tinière (dir.). </w:t>
            </w:r>
            <w:r>
              <w:rPr>
                <w:i w:val="1"/>
                <w:iCs w:val="1"/>
              </w:rPr>
              <w:t xml:space="preserve">QPC et droit européen des droits de l’homme</w:t>
            </w:r>
            <w:r>
              <w:rPr/>
              <w:t xml:space="preserve">, n° 115, Anthemis, coll. « Droit et justice », pp. 21-44., 2017</w:t>
            </w:r>
          </w:p>
          <w:p>
            <w:pPr/>
            <w:r>
              <w:rPr/>
              <w:t xml:space="preserve">Chapitre d'ouvrage</w:t>
            </w:r>
          </w:p>
          <w:p>
            <w:pPr/>
            <w:hyperlink r:id="rId99" w:history="1">
              <w:r>
                <w:rPr>
                  <w:color w:val="#410a8c"/>
                  <w:u w:val="single"/>
                </w:rPr>
                <w:t xml:space="preserve">hal-04860801v1</w:t>
              </w:r>
            </w:hyperlink>
          </w:p>
        </w:tc>
      </w:tr>
      <w:tr>
        <w:trPr/>
        <w:tc>
          <w:tcPr>
            <w:noWrap/>
          </w:tcPr>
          <w:p>
            <w:pPr>
              <w:spacing w:after="200"/>
            </w:pPr>
            <w:hyperlink r:id="rId100" w:history="1">
              <w:r>
                <w:rPr>
                  <w:color w:val="1e198e"/>
                  <w:b w:val="1"/>
                  <w:bCs w:val="1"/>
                  <w:u w:val="single"/>
                </w:rPr>
                <w:t xml:space="preserve">« Universalisation ou standardisation des droits fondamentaux ? »</w:t>
              </w:r>
            </w:hyperlink>
          </w:p>
          <w:p>
            <w:pPr/>
            <w:hyperlink r:id="rId18" w:history="1">
              <w:r>
                <w:rPr>
                  <w:color w:val="#410a8c"/>
                  <w:u w:val="single"/>
                </w:rPr>
                <w:t xml:space="preserve">Mustapha Afroukh</w:t>
              </w:r>
            </w:hyperlink>
          </w:p>
          <w:p>
            <w:pPr/>
            <w:r>
              <w:rPr/>
              <w:t xml:space="preserve">A. Viala, S. Pinon et F. Ballaguer Callejon (dir.). </w:t>
            </w:r>
            <w:r>
              <w:rPr>
                <w:i w:val="1"/>
                <w:iCs w:val="1"/>
              </w:rPr>
              <w:t xml:space="preserve">Le pouvoir constituant au XXIe siècle</w:t>
            </w:r>
            <w:r>
              <w:rPr/>
              <w:t xml:space="preserve">, Mare et Martin, pp. 29-46., 2017</w:t>
            </w:r>
          </w:p>
          <w:p>
            <w:pPr/>
            <w:r>
              <w:rPr/>
              <w:t xml:space="preserve">Chapitre d'ouvrage</w:t>
            </w:r>
          </w:p>
          <w:p>
            <w:pPr/>
            <w:hyperlink r:id="rId100" w:history="1">
              <w:r>
                <w:rPr>
                  <w:color w:val="#410a8c"/>
                  <w:u w:val="single"/>
                </w:rPr>
                <w:t xml:space="preserve">hal-04860815v1</w:t>
              </w:r>
            </w:hyperlink>
          </w:p>
        </w:tc>
      </w:tr>
      <w:tr>
        <w:trPr/>
        <w:tc>
          <w:tcPr>
            <w:noWrap/>
          </w:tcPr>
          <w:p>
            <w:pPr>
              <w:spacing w:after="200"/>
            </w:pPr>
            <w:hyperlink r:id="rId101" w:history="1">
              <w:r>
                <w:rPr>
                  <w:color w:val="1e198e"/>
                  <w:b w:val="1"/>
                  <w:bCs w:val="1"/>
                  <w:u w:val="single"/>
                </w:rPr>
                <w:t xml:space="preserve">« Le contrôle de la norme nationale par la Cour européenne des droits de l’homme »</w:t>
              </w:r>
            </w:hyperlink>
          </w:p>
          <w:p>
            <w:pPr/>
            <w:hyperlink r:id="rId18" w:history="1">
              <w:r>
                <w:rPr>
                  <w:color w:val="#410a8c"/>
                  <w:u w:val="single"/>
                </w:rPr>
                <w:t xml:space="preserve">Mustapha Afroukh</w:t>
              </w:r>
            </w:hyperlink>
          </w:p>
          <w:p>
            <w:pPr/>
            <w:r>
              <w:rPr/>
              <w:t xml:space="preserve">V. Peltier et A. Gorgoza (dir.). </w:t>
            </w:r>
            <w:r>
              <w:rPr>
                <w:i w:val="1"/>
                <w:iCs w:val="1"/>
              </w:rPr>
              <w:t xml:space="preserve">Jurisprudence et qualité de la norme</w:t>
            </w:r>
            <w:r>
              <w:rPr/>
              <w:t xml:space="preserve">, Mare et Martin, pp. 303-316., 2016</w:t>
            </w:r>
          </w:p>
          <w:p>
            <w:pPr/>
            <w:r>
              <w:rPr/>
              <w:t xml:space="preserve">Chapitre d'ouvrage</w:t>
            </w:r>
          </w:p>
          <w:p>
            <w:pPr/>
            <w:hyperlink r:id="rId101" w:history="1">
              <w:r>
                <w:rPr>
                  <w:color w:val="#410a8c"/>
                  <w:u w:val="single"/>
                </w:rPr>
                <w:t xml:space="preserve">hal-04860799v1</w:t>
              </w:r>
            </w:hyperlink>
          </w:p>
        </w:tc>
      </w:tr>
      <w:tr>
        <w:trPr/>
        <w:tc>
          <w:tcPr>
            <w:noWrap/>
          </w:tcPr>
          <w:p>
            <w:pPr>
              <w:spacing w:after="200"/>
            </w:pPr>
            <w:hyperlink r:id="rId102" w:history="1">
              <w:r>
                <w:rPr>
                  <w:color w:val="1e198e"/>
                  <w:b w:val="1"/>
                  <w:bCs w:val="1"/>
                  <w:u w:val="single"/>
                </w:rPr>
                <w:t xml:space="preserve">« L'objectivisation du contrôle »</w:t>
              </w:r>
            </w:hyperlink>
          </w:p>
          <w:p>
            <w:pPr/>
            <w:hyperlink r:id="rId18" w:history="1">
              <w:r>
                <w:rPr>
                  <w:color w:val="#410a8c"/>
                  <w:u w:val="single"/>
                </w:rPr>
                <w:t xml:space="preserve">Mustapha Afroukh</w:t>
              </w:r>
            </w:hyperlink>
          </w:p>
          <w:p>
            <w:pPr/>
            <w:r>
              <w:rPr/>
              <w:t xml:space="preserve">J. Andriantsimbazovina, L. Burgorgue-Larsen et S. Touzé (dir.). </w:t>
            </w:r>
            <w:r>
              <w:rPr>
                <w:i w:val="1"/>
                <w:iCs w:val="1"/>
              </w:rPr>
              <w:t xml:space="preserve">La protection des droits de l'homme par les Cours supranationales</w:t>
            </w:r>
            <w:r>
              <w:rPr/>
              <w:t xml:space="preserve">, Pedone, pp. 100-124., 2016</w:t>
            </w:r>
          </w:p>
          <w:p>
            <w:pPr/>
            <w:r>
              <w:rPr/>
              <w:t xml:space="preserve">Chapitre d'ouvrage</w:t>
            </w:r>
          </w:p>
          <w:p>
            <w:pPr/>
            <w:hyperlink r:id="rId102" w:history="1">
              <w:r>
                <w:rPr>
                  <w:color w:val="#410a8c"/>
                  <w:u w:val="single"/>
                </w:rPr>
                <w:t xml:space="preserve">hal-04860794v1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beaux arrêts de la Cour européenne des droits de l’homme</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r>
              <w:rPr/>
              <w:t xml:space="preserve">,</w:t>
            </w:r>
            <w:hyperlink r:id="rId79" w:history="1">
              <w:r>
                <w:rPr>
                  <w:color w:val="#410a8c"/>
                  <w:u w:val="single"/>
                </w:rPr>
                <w:t xml:space="preserve">Michel Levinet</w:t>
              </w:r>
            </w:hyperlink>
          </w:p>
          <w:p>
            <w:pPr/>
            <w:r>
              <w:rPr/>
              <w:t xml:space="preserve">Lexisnexis, In press</w:t>
            </w:r>
          </w:p>
          <w:p>
            <w:pPr/>
            <w:r>
              <w:rPr/>
              <w:t xml:space="preserve">Ouvrages</w:t>
            </w:r>
          </w:p>
          <w:p>
            <w:pPr/>
            <w:hyperlink r:id="rId103" w:history="1">
              <w:r>
                <w:rPr>
                  <w:color w:val="#410a8c"/>
                  <w:u w:val="single"/>
                </w:rPr>
                <w:t xml:space="preserve">hal-04860807v1</w:t>
              </w:r>
            </w:hyperlink>
          </w:p>
        </w:tc>
      </w:tr>
      <w:tr>
        <w:trPr/>
        <w:tc>
          <w:tcPr>
            <w:noWrap/>
          </w:tcPr>
          <w:p>
            <w:pPr>
              <w:spacing w:after="200"/>
            </w:pPr>
            <w:hyperlink r:id="rId104" w:history="1">
              <w:r>
                <w:rPr>
                  <w:color w:val="1e198e"/>
                  <w:b w:val="1"/>
                  <w:bCs w:val="1"/>
                  <w:u w:val="single"/>
                </w:rPr>
                <w:t xml:space="preserve">En finir avec les idées reçues sur la Convention européenne des droits de l’homme (dir.)</w:t>
              </w:r>
            </w:hyperlink>
          </w:p>
          <w:p>
            <w:pPr/>
            <w:hyperlink r:id="rId18" w:history="1">
              <w:r>
                <w:rPr>
                  <w:color w:val="#410a8c"/>
                  <w:u w:val="single"/>
                </w:rPr>
                <w:t xml:space="preserve">Mustapha Afroukh</w:t>
              </w:r>
            </w:hyperlink>
          </w:p>
          <w:p>
            <w:pPr/>
            <w:r>
              <w:rPr/>
              <w:t xml:space="preserve">Mare et Martin, 2024, Horizons européens</w:t>
            </w:r>
          </w:p>
          <w:p>
            <w:pPr/>
            <w:r>
              <w:rPr/>
              <w:t xml:space="preserve">Ouvrages</w:t>
            </w:r>
          </w:p>
          <w:p>
            <w:pPr/>
            <w:hyperlink r:id="rId104" w:history="1">
              <w:r>
                <w:rPr>
                  <w:color w:val="#410a8c"/>
                  <w:u w:val="single"/>
                </w:rPr>
                <w:t xml:space="preserve">halshs-04858286v1</w:t>
              </w:r>
            </w:hyperlink>
          </w:p>
        </w:tc>
      </w:tr>
      <w:tr>
        <w:trPr/>
        <w:tc>
          <w:tcPr>
            <w:noWrap/>
          </w:tcPr>
          <w:p>
            <w:pPr>
              <w:spacing w:after="200"/>
            </w:pPr>
            <w:hyperlink r:id="rId105" w:history="1">
              <w:r>
                <w:rPr>
                  <w:color w:val="1e198e"/>
                  <w:b w:val="1"/>
                  <w:bCs w:val="1"/>
                  <w:u w:val="single"/>
                </w:rPr>
                <w:t xml:space="preserve">Le droit de la Convention européenne en pratique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Larcier, A paraître</w:t>
            </w:r>
          </w:p>
          <w:p>
            <w:pPr/>
            <w:r>
              <w:rPr/>
              <w:t xml:space="preserve">Ouvrages</w:t>
            </w:r>
          </w:p>
          <w:p>
            <w:pPr/>
            <w:hyperlink r:id="rId105" w:history="1">
              <w:r>
                <w:rPr>
                  <w:color w:val="#410a8c"/>
                  <w:u w:val="single"/>
                </w:rPr>
                <w:t xml:space="preserve">halshs-03977041v1</w:t>
              </w:r>
            </w:hyperlink>
          </w:p>
        </w:tc>
      </w:tr>
      <w:tr>
        <w:trPr/>
        <w:tc>
          <w:tcPr>
            <w:noWrap/>
          </w:tcPr>
          <w:p>
            <w:pPr>
              <w:spacing w:after="200"/>
            </w:pPr>
            <w:hyperlink r:id="rId106" w:history="1">
              <w:r>
                <w:rPr>
                  <w:color w:val="1e198e"/>
                  <w:b w:val="1"/>
                  <w:bCs w:val="1"/>
                  <w:u w:val="single"/>
                </w:rPr>
                <w:t xml:space="preserve">Droits et libertés fondamentaux</w:t>
              </w:r>
            </w:hyperlink>
          </w:p>
          <w:p>
            <w:pPr/>
            <w:hyperlink r:id="rId18" w:history="1">
              <w:r>
                <w:rPr>
                  <w:color w:val="#410a8c"/>
                  <w:u w:val="single"/>
                </w:rPr>
                <w:t xml:space="preserve">Mustapha Afroukh</w:t>
              </w:r>
            </w:hyperlink>
          </w:p>
          <w:p>
            <w:pPr/>
            <w:r>
              <w:rPr/>
              <w:t xml:space="preserve">Presses universitaires de France. 2023, Que-sais-je ?</w:t>
            </w:r>
          </w:p>
          <w:p>
            <w:pPr/>
            <w:r>
              <w:rPr/>
              <w:t xml:space="preserve">Ouvrages</w:t>
            </w:r>
          </w:p>
          <w:p>
            <w:pPr/>
            <w:hyperlink r:id="rId106" w:history="1">
              <w:r>
                <w:rPr>
                  <w:color w:val="#410a8c"/>
                  <w:u w:val="single"/>
                </w:rPr>
                <w:t xml:space="preserve">halshs-04858279v1</w:t>
              </w:r>
            </w:hyperlink>
          </w:p>
        </w:tc>
      </w:tr>
      <w:tr>
        <w:trPr/>
        <w:tc>
          <w:tcPr>
            <w:noWrap/>
          </w:tcPr>
          <w:p>
            <w:pPr>
              <w:spacing w:after="200"/>
            </w:pPr>
            <w:hyperlink r:id="rId107" w:history="1">
              <w:r>
                <w:rPr>
                  <w:color w:val="1e198e"/>
                  <w:b w:val="1"/>
                  <w:bCs w:val="1"/>
                  <w:u w:val="single"/>
                </w:rPr>
                <w:t xml:space="preserve">Le Conseil constitutionnel et la Cour européenne des droits de l’homme : vers un nouvel équilibre ?</w:t>
              </w:r>
            </w:hyperlink>
          </w:p>
          <w:p>
            <w:pPr/>
            <w:hyperlink r:id="rId18" w:history="1">
              <w:r>
                <w:rPr>
                  <w:color w:val="#410a8c"/>
                  <w:u w:val="single"/>
                </w:rPr>
                <w:t xml:space="preserve">Mustapha Afroukh</w:t>
              </w:r>
            </w:hyperlink>
            <w:r>
              <w:rPr/>
              <w:t xml:space="preserve">,</w:t>
            </w:r>
            <w:hyperlink r:id="rId30" w:history="1">
              <w:r>
                <w:rPr>
                  <w:color w:val="#410a8c"/>
                  <w:u w:val="single"/>
                </w:rPr>
                <w:t xml:space="preserve">Julien Bonnet</w:t>
              </w:r>
            </w:hyperlink>
          </w:p>
          <w:p>
            <w:pPr/>
            <w:r>
              <w:rPr/>
              <w:t xml:space="preserve">Anthemis / Droit &amp; Justice, 286 p., 2021, 978-2-8072-0787-5</w:t>
            </w:r>
          </w:p>
          <w:p>
            <w:pPr/>
            <w:r>
              <w:rPr/>
              <w:t xml:space="preserve">Ouvrages</w:t>
            </w:r>
          </w:p>
          <w:p>
            <w:pPr/>
            <w:hyperlink r:id="rId107" w:history="1">
              <w:r>
                <w:rPr>
                  <w:color w:val="#410a8c"/>
                  <w:u w:val="single"/>
                </w:rPr>
                <w:t xml:space="preserve">hal-03720155v1</w:t>
              </w:r>
            </w:hyperlink>
          </w:p>
        </w:tc>
      </w:tr>
      <w:tr>
        <w:trPr/>
        <w:tc>
          <w:tcPr>
            <w:noWrap/>
          </w:tcPr>
          <w:p>
            <w:pPr>
              <w:spacing w:after="200"/>
            </w:pPr>
            <w:hyperlink r:id="rId108" w:history="1">
              <w:r>
                <w:rPr>
                  <w:color w:val="1e198e"/>
                  <w:b w:val="1"/>
                  <w:bCs w:val="1"/>
                  <w:u w:val="single"/>
                </w:rPr>
                <w:t xml:space="preserve">Le Protocole n° 16 à la Convention européenne des droits de l’homme (dir.)</w:t>
              </w:r>
            </w:hyperlink>
          </w:p>
          <w:p>
            <w:pPr/>
            <w:hyperlink r:id="rId18" w:history="1">
              <w:r>
                <w:rPr>
                  <w:color w:val="#410a8c"/>
                  <w:u w:val="single"/>
                </w:rPr>
                <w:t xml:space="preserve">Mustapha Afroukh</w:t>
              </w:r>
            </w:hyperlink>
            <w:r>
              <w:rPr/>
              <w:t xml:space="preserve">,</w:t>
            </w:r>
            <w:hyperlink r:id="rId21" w:history="1">
              <w:r>
                <w:rPr>
                  <w:color w:val="#410a8c"/>
                  <w:u w:val="single"/>
                </w:rPr>
                <w:t xml:space="preserve">Jean-Pierre Marguénaud</w:t>
              </w:r>
            </w:hyperlink>
          </w:p>
          <w:p>
            <w:pPr/>
            <w:r>
              <w:rPr/>
              <w:t xml:space="preserve">Pedone, 2020</w:t>
            </w:r>
          </w:p>
          <w:p>
            <w:pPr/>
            <w:r>
              <w:rPr/>
              <w:t xml:space="preserve">Ouvrages</w:t>
            </w:r>
          </w:p>
          <w:p>
            <w:pPr/>
            <w:hyperlink r:id="rId108" w:history="1">
              <w:r>
                <w:rPr>
                  <w:color w:val="#410a8c"/>
                  <w:u w:val="single"/>
                </w:rPr>
                <w:t xml:space="preserve">halshs-04858290v1</w:t>
              </w:r>
            </w:hyperlink>
          </w:p>
        </w:tc>
      </w:tr>
      <w:tr>
        <w:trPr/>
        <w:tc>
          <w:tcPr>
            <w:noWrap/>
          </w:tcPr>
          <w:p>
            <w:pPr>
              <w:spacing w:after="200"/>
            </w:pPr>
            <w:hyperlink r:id="rId109" w:history="1">
              <w:r>
                <w:rPr>
                  <w:color w:val="1e198e"/>
                  <w:b w:val="1"/>
                  <w:bCs w:val="1"/>
                  <w:u w:val="single"/>
                </w:rPr>
                <w:t xml:space="preserve">La sécurité : mutations et incertitudes (dir.)</w:t>
              </w:r>
            </w:hyperlink>
          </w:p>
          <w:p>
            <w:pP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t xml:space="preserve">Institut universitaire varenne, 2019, Colloque et essais</w:t>
            </w:r>
          </w:p>
          <w:p>
            <w:pPr/>
            <w:r>
              <w:rPr/>
              <w:t xml:space="preserve">Ouvrages</w:t>
            </w:r>
          </w:p>
          <w:p>
            <w:pPr/>
            <w:hyperlink r:id="rId109" w:history="1">
              <w:r>
                <w:rPr>
                  <w:color w:val="#410a8c"/>
                  <w:u w:val="single"/>
                </w:rPr>
                <w:t xml:space="preserve">halshs-04858294v1</w:t>
              </w:r>
            </w:hyperlink>
          </w:p>
        </w:tc>
      </w:tr>
      <w:tr>
        <w:trPr/>
        <w:tc>
          <w:tcPr>
            <w:noWrap/>
          </w:tcPr>
          <w:p>
            <w:pPr>
              <w:spacing w:after="200"/>
            </w:pPr>
            <w:hyperlink r:id="rId110" w:history="1">
              <w:r>
                <w:rPr>
                  <w:color w:val="1e198e"/>
                  <w:b w:val="1"/>
                  <w:bCs w:val="1"/>
                  <w:u w:val="single"/>
                </w:rPr>
                <w:t xml:space="preserve">L'islam en droit international des droits de l'homme (dir.)</w:t>
              </w:r>
            </w:hyperlink>
          </w:p>
          <w:p>
            <w:pPr/>
            <w:hyperlink r:id="rId18" w:history="1">
              <w:r>
                <w:rPr>
                  <w:color w:val="#410a8c"/>
                  <w:u w:val="single"/>
                </w:rPr>
                <w:t xml:space="preserve">Mustapha Afroukh</w:t>
              </w:r>
            </w:hyperlink>
          </w:p>
          <w:p>
            <w:pPr/>
            <w:r>
              <w:rPr/>
              <w:t xml:space="preserve">Institut universitaire varenne, 2019, Transition et justice</w:t>
            </w:r>
          </w:p>
          <w:p>
            <w:pPr/>
            <w:r>
              <w:rPr/>
              <w:t xml:space="preserve">Ouvrages</w:t>
            </w:r>
          </w:p>
          <w:p>
            <w:pPr/>
            <w:hyperlink r:id="rId110" w:history="1">
              <w:r>
                <w:rPr>
                  <w:color w:val="#410a8c"/>
                  <w:u w:val="single"/>
                </w:rPr>
                <w:t xml:space="preserve">halshs-04858295v1</w:t>
              </w:r>
            </w:hyperlink>
          </w:p>
        </w:tc>
      </w:tr>
      <w:tr>
        <w:trPr/>
        <w:tc>
          <w:tcPr>
            <w:noWrap/>
          </w:tcPr>
          <w:p>
            <w:pPr>
              <w:spacing w:after="200"/>
            </w:pPr>
            <w:hyperlink r:id="rId111" w:history="1">
              <w:r>
                <w:rPr>
                  <w:color w:val="1e198e"/>
                  <w:b w:val="1"/>
                  <w:bCs w:val="1"/>
                  <w:u w:val="single"/>
                </w:rPr>
                <w:t xml:space="preserve">La hiérarchie des droits et libertés dans la jurisprudence de la Cour européenne des droits de l’homme,</w:t>
              </w:r>
            </w:hyperlink>
          </w:p>
          <w:p>
            <w:pPr/>
            <w:hyperlink r:id="rId18" w:history="1">
              <w:r>
                <w:rPr>
                  <w:color w:val="#410a8c"/>
                  <w:u w:val="single"/>
                </w:rPr>
                <w:t xml:space="preserve">Mustapha Afroukh</w:t>
              </w:r>
            </w:hyperlink>
          </w:p>
          <w:p>
            <w:pPr/>
            <w:r>
              <w:rPr/>
              <w:t xml:space="preserve">Bruylant, 2012</w:t>
            </w:r>
          </w:p>
          <w:p>
            <w:pPr/>
            <w:r>
              <w:rPr/>
              <w:t xml:space="preserve">Ouvrages</w:t>
            </w:r>
          </w:p>
          <w:p>
            <w:pPr/>
            <w:hyperlink r:id="rId111" w:history="1">
              <w:r>
                <w:rPr>
                  <w:color w:val="#410a8c"/>
                  <w:u w:val="single"/>
                </w:rPr>
                <w:t xml:space="preserve">halshs-04858600v1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Religions et espace public (dir.)</w:t>
              </w:r>
            </w:hyperlink>
          </w:p>
          <w:p>
            <w:pPr/>
            <w:hyperlink r:id="rId18" w:history="1">
              <w:r>
                <w:rPr>
                  <w:color w:val="#410a8c"/>
                  <w:u w:val="single"/>
                </w:rPr>
                <w:t xml:space="preserve">Mustapha Afroukh</w:t>
              </w:r>
            </w:hyperlink>
            <w:r>
              <w:rPr/>
              <w:t xml:space="preserve">,</w:t>
            </w:r>
            <w:hyperlink r:id="rId113" w:history="1">
              <w:r>
                <w:rPr>
                  <w:color w:val="#410a8c"/>
                  <w:u w:val="single"/>
                </w:rPr>
                <w:t xml:space="preserve">Eric Sales</w:t>
              </w:r>
            </w:hyperlink>
          </w:p>
          <w:p>
            <w:pPr/>
            <w:r>
              <w:rPr>
                <w:i w:val="1"/>
                <w:iCs w:val="1"/>
              </w:rPr>
              <w:t xml:space="preserve">Questions constitutionnelles. Revue de droit constitutionnel</w:t>
            </w:r>
            <w:r>
              <w:rPr/>
              <w:t xml:space="preserve">, https://questions-constitutionnelles.fr/dossier/religion-et-espace-public/, 2024</w:t>
            </w:r>
          </w:p>
          <w:p>
            <w:pPr/>
            <w:r>
              <w:rPr/>
              <w:t xml:space="preserve">N°spécial de revue/special issue</w:t>
            </w:r>
          </w:p>
          <w:p>
            <w:pPr/>
            <w:hyperlink r:id="rId112" w:history="1">
              <w:r>
                <w:rPr>
                  <w:color w:val="#410a8c"/>
                  <w:u w:val="single"/>
                </w:rPr>
                <w:t xml:space="preserve">hal-04861035v1</w:t>
              </w:r>
            </w:hyperlink>
          </w:p>
        </w:tc>
      </w:tr>
      <w:tr>
        <w:trPr/>
        <w:tc>
          <w:tcPr>
            <w:noWrap/>
          </w:tcPr>
          <w:p>
            <w:pPr>
              <w:spacing w:after="200"/>
            </w:pPr>
            <w:hyperlink r:id="rId114" w:history="1">
              <w:r>
                <w:rPr>
                  <w:color w:val="1e198e"/>
                  <w:b w:val="1"/>
                  <w:bCs w:val="1"/>
                  <w:u w:val="single"/>
                </w:rPr>
                <w:t xml:space="preserve">LA RECONFIGURATION DE L’OFFICE DU JUGE DE LA CONVENTIONNALITÉ DE LA LOI</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Julien Bonnet et Mustapha Afroukh. </w:t>
            </w:r>
            <w:r>
              <w:rPr>
                <w:i w:val="1"/>
                <w:iCs w:val="1"/>
              </w:rPr>
              <w:t xml:space="preserve">Revue des droits et libertés fondamentaux</w:t>
            </w:r>
            <w:r>
              <w:rPr/>
              <w:t xml:space="preserve">, 2019, Le contrôle de conventionnalité in concreto de la loi : nouvelles applications, nouvelles interrogations</w:t>
            </w:r>
          </w:p>
          <w:p>
            <w:pPr/>
            <w:r>
              <w:rPr/>
              <w:t xml:space="preserve">N°spécial de revue/special issue</w:t>
            </w:r>
          </w:p>
          <w:p>
            <w:pPr/>
            <w:hyperlink r:id="rId114" w:history="1">
              <w:r>
                <w:rPr>
                  <w:color w:val="#410a8c"/>
                  <w:u w:val="single"/>
                </w:rPr>
                <w:t xml:space="preserve">hal-03720220v1</w:t>
              </w:r>
            </w:hyperlink>
          </w:p>
        </w:tc>
      </w:tr>
      <w:tr>
        <w:trPr/>
        <w:tc>
          <w:tcPr>
            <w:noWrap/>
          </w:tcPr>
          <w:p>
            <w:pPr>
              <w:spacing w:after="200"/>
            </w:pPr>
            <w:hyperlink r:id="rId115" w:history="1">
              <w:r>
                <w:rPr>
                  <w:color w:val="1e198e"/>
                  <w:b w:val="1"/>
                  <w:bCs w:val="1"/>
                  <w:u w:val="single"/>
                </w:rPr>
                <w:t xml:space="preserve">Lutte contre le terrorisme et droits fondamentaux (dir.)</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Dossier n° 3, https://revuedlf.com/dossier/lutte-contre-le-terrorisme-et-droits-fondamentaux/, 2015</w:t>
            </w:r>
          </w:p>
          <w:p>
            <w:pPr/>
            <w:r>
              <w:rPr/>
              <w:t xml:space="preserve">N°spécial de revue/special issue</w:t>
            </w:r>
          </w:p>
          <w:p>
            <w:pPr/>
            <w:hyperlink r:id="rId115" w:history="1">
              <w:r>
                <w:rPr>
                  <w:color w:val="#410a8c"/>
                  <w:u w:val="single"/>
                </w:rPr>
                <w:t xml:space="preserve">hal-04858905v1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Présentation et débat</w:t>
              </w:r>
            </w:hyperlink>
          </w:p>
          <w:p>
            <w:pPr/>
            <w:hyperlink r:id="rId117" w:history="1">
              <w:r>
                <w:rPr>
                  <w:color w:val="#410a8c"/>
                  <w:u w:val="single"/>
                </w:rPr>
                <w:t xml:space="preserve">Pierre-Yves Gahdoun</w:t>
              </w:r>
            </w:hyperlink>
            <w:r>
              <w:rPr/>
              <w:t xml:space="preserve">,</w:t>
            </w:r>
            <w:hyperlink r:id="rId18" w:history="1">
              <w:r>
                <w:rPr>
                  <w:color w:val="#410a8c"/>
                  <w:u w:val="single"/>
                </w:rPr>
                <w:t xml:space="preserve">Mustapha Afroukh</w:t>
              </w:r>
            </w:hyperlink>
            <w:r>
              <w:rPr/>
              <w:t xml:space="preserve">,</w:t>
            </w:r>
            <w:hyperlink r:id="rId25" w:history="1">
              <w:r>
                <w:rPr>
                  <w:color w:val="#410a8c"/>
                  <w:u w:val="single"/>
                </w:rPr>
                <w:t xml:space="preserve">Alexandre Viala</w:t>
              </w:r>
            </w:hyperlink>
          </w:p>
          <w:p>
            <w:pPr/>
            <w:r>
              <w:rPr>
                <w:i w:val="1"/>
                <w:iCs w:val="1"/>
              </w:rPr>
              <w:t xml:space="preserve">autour de l’ouvrage d’A. Viala, Faut-il laisser le pouvoir aux savants ? La tentation de l’épistocratie,</w:t>
            </w:r>
            <w:r>
              <w:rPr/>
              <w:t xml:space="preserve">, Oct 2024, Montpellier, France</w:t>
            </w:r>
          </w:p>
          <w:p>
            <w:pPr/>
            <w:r>
              <w:rPr/>
              <w:t xml:space="preserve">Communication dans un congrès</w:t>
            </w:r>
          </w:p>
          <w:p>
            <w:pPr/>
            <w:hyperlink r:id="rId116" w:history="1">
              <w:r>
                <w:rPr>
                  <w:color w:val="#410a8c"/>
                  <w:u w:val="single"/>
                </w:rPr>
                <w:t xml:space="preserve">hal-04982355v1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 L’expulsion de l’imam Iquioussen devant le Conseil d’Etat : nouvelle illustration des aléas du contrôle de proportionnalité », Club des juristes, https://www.leclubdesjuristes.com/justice/lexpulsion-de-limam-iquioussen-devant-le-conseil-detat-nouvelle-illustration-des-aleas-du-controle-de-proportionnalite-640</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8" w:history="1">
              <w:r>
                <w:rPr>
                  <w:color w:val="#410a8c"/>
                  <w:u w:val="single"/>
                </w:rPr>
                <w:t xml:space="preserve">hal-04858875v1</w:t>
              </w:r>
            </w:hyperlink>
          </w:p>
        </w:tc>
      </w:tr>
      <w:tr>
        <w:trPr/>
        <w:tc>
          <w:tcPr>
            <w:noWrap/>
          </w:tcPr>
          <w:p>
            <w:pPr>
              <w:spacing w:after="200"/>
            </w:pPr>
            <w:hyperlink r:id="rId119" w:history="1">
              <w:r>
                <w:rPr>
                  <w:color w:val="1e198e"/>
                  <w:b w:val="1"/>
                  <w:bCs w:val="1"/>
                  <w:u w:val="single"/>
                </w:rPr>
                <w:t xml:space="preserve">« L’exclusion de la Russie du Conseil de l’Europe : une décision responsable », Le club des juristes : https://blog.leclubdesjuristes.com/lexclusion-de-la-russie-du-conseil-de-leurope-une-decision-responsable</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9" w:history="1">
              <w:r>
                <w:rPr>
                  <w:color w:val="#410a8c"/>
                  <w:u w:val="single"/>
                </w:rPr>
                <w:t xml:space="preserve">hal-04858884v1</w:t>
              </w:r>
            </w:hyperlink>
          </w:p>
        </w:tc>
      </w:tr>
      <w:tr>
        <w:trPr/>
        <w:tc>
          <w:tcPr>
            <w:noWrap/>
          </w:tcPr>
          <w:p>
            <w:pPr>
              <w:spacing w:after="200"/>
            </w:pPr>
            <w:hyperlink r:id="rId120" w:history="1">
              <w:r>
                <w:rPr>
                  <w:color w:val="1e198e"/>
                  <w:b w:val="1"/>
                  <w:bCs w:val="1"/>
                  <w:u w:val="single"/>
                </w:rPr>
                <w:t xml:space="preserve">« La condamnation sans appel des dérives autoritaires du président K. Saïed par la Cour africaine des droits de l’homme et des peuples », Le blog du CERCOP,https://montpelliercercop.blogspot.com/2022/10/la-condamnation-sans-appel-des-derives.html</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20" w:history="1">
              <w:r>
                <w:rPr>
                  <w:color w:val="#410a8c"/>
                  <w:u w:val="single"/>
                </w:rPr>
                <w:t xml:space="preserve">hal-04858885v1</w:t>
              </w:r>
            </w:hyperlink>
          </w:p>
        </w:tc>
      </w:tr>
      <w:tr>
        <w:trPr/>
        <w:tc>
          <w:tcPr>
            <w:noWrap/>
          </w:tcPr>
          <w:p>
            <w:pPr>
              <w:spacing w:after="200"/>
            </w:pPr>
            <w:hyperlink r:id="rId121" w:history="1">
              <w:r>
                <w:rPr>
                  <w:color w:val="1e198e"/>
                  <w:b w:val="1"/>
                  <w:bCs w:val="1"/>
                  <w:u w:val="single"/>
                </w:rPr>
                <w:t xml:space="preserve">« L’accord de commerce et de coopération post Brexit… et l’hypothèse de la dénonciation de la CEDH par le Royaume-Uni », Le club des juristes, https://www.leclubdesjuristes.com/brexit/laccord-de-commerce-et-de-cooperation-post-brexit-et-lhypothese-de-la-denonciation-de-la-cedh-par-le-royaume-uni</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1" w:history="1">
              <w:r>
                <w:rPr>
                  <w:color w:val="#410a8c"/>
                  <w:u w:val="single"/>
                </w:rPr>
                <w:t xml:space="preserve">hal-04858889v1</w:t>
              </w:r>
            </w:hyperlink>
          </w:p>
        </w:tc>
      </w:tr>
      <w:tr>
        <w:trPr/>
        <w:tc>
          <w:tcPr>
            <w:noWrap/>
          </w:tcPr>
          <w:p>
            <w:pPr>
              <w:spacing w:after="200"/>
            </w:pPr>
            <w:hyperlink r:id="rId122" w:history="1">
              <w:r>
                <w:rPr>
                  <w:color w:val="1e198e"/>
                  <w:b w:val="1"/>
                  <w:bCs w:val="1"/>
                  <w:u w:val="single"/>
                </w:rPr>
                <w:t xml:space="preserve">« La mise sous influence du pouvoir constituant : la Cour d’Arusha sur les traces de ses consœurs interaméricaine et européenne… », Blog du CERCOP : https://montpelliercercop.blogspot.com/2021/04/la-mise-sous-influence-du-pouvoir.html</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2" w:history="1">
              <w:r>
                <w:rPr>
                  <w:color w:val="#410a8c"/>
                  <w:u w:val="single"/>
                </w:rPr>
                <w:t xml:space="preserve">hal-04858887v1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Chronique de jurisprudence constitutionnelle comparée/France</w:t>
              </w:r>
            </w:hyperlink>
          </w:p>
          <w:p>
            <w:pPr/>
            <w:hyperlink r:id="rId30"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2022, </w:t>
            </w:r>
            <w:hyperlink r:id="rId124" w:history="1">
              <w:r>
                <w:rPr>
                  <w:color w:val="#410a8c"/>
                  <w:u w:val="single"/>
                </w:rPr>
                <w:t xml:space="preserve">⟨10.3917/rtdh.131.0565⟩</w:t>
              </w:r>
            </w:hyperlink>
          </w:p>
          <w:p>
            <w:pPr/>
            <w:r>
              <w:rPr/>
              <w:t xml:space="preserve">Autre publication scientifique</w:t>
            </w:r>
          </w:p>
          <w:p>
            <w:pPr/>
            <w:hyperlink r:id="rId123" w:history="1">
              <w:r>
                <w:rPr>
                  <w:color w:val="#410a8c"/>
                  <w:u w:val="single"/>
                </w:rPr>
                <w:t xml:space="preserve">halshs-03896162v1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mutations du contrôle de conventionnalité (dir. S. Touzé)</w:t>
              </w:r>
            </w:hyperlink>
          </w:p>
          <w:p>
            <w:pPr/>
            <w:hyperlink r:id="rId18" w:history="1">
              <w:r>
                <w:rPr>
                  <w:color w:val="#410a8c"/>
                  <w:u w:val="single"/>
                </w:rPr>
                <w:t xml:space="preserve">Mustapha Afroukh</w:t>
              </w:r>
            </w:hyperlink>
          </w:p>
          <w:p>
            <w:pPr/>
            <w:r>
              <w:rPr/>
              <w:t xml:space="preserve">Law. Université Panthéon Assas (Paris 2), 2021</w:t>
            </w:r>
          </w:p>
          <w:p>
            <w:pPr/>
            <w:r>
              <w:rPr/>
              <w:t xml:space="preserve">HDR</w:t>
            </w:r>
          </w:p>
          <w:p>
            <w:pPr/>
            <w:hyperlink r:id="rId125" w:history="1">
              <w:r>
                <w:rPr>
                  <w:color w:val="#410a8c"/>
                  <w:u w:val="single"/>
                </w:rPr>
                <w:t xml:space="preserve">tel-04858895v1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dedh.edu.umontpellier.fr/" TargetMode="External"/><Relationship Id="rId9" Type="http://schemas.openxmlformats.org/officeDocument/2006/relationships/hyperlink" Target="https://www.crdh.fr/" TargetMode="External"/><Relationship Id="rId10" Type="http://schemas.openxmlformats.org/officeDocument/2006/relationships/hyperlink" Target="https://formations.umontpellier.fr/fr/formations/master-lmd-XB/master-droit-des-libertes-KIOGEF0H.html" TargetMode="External"/><Relationship Id="rId11" Type="http://schemas.openxmlformats.org/officeDocument/2006/relationships/hyperlink" Target="https://mdpa.edu.umontpellier.fr/" TargetMode="External"/><Relationship Id="rId12" Type="http://schemas.openxmlformats.org/officeDocument/2006/relationships/hyperlink" Target="https://www.crdh.fr/revue-droits-fondamentaux/" TargetMode="External"/><Relationship Id="rId13" Type="http://schemas.openxmlformats.org/officeDocument/2006/relationships/hyperlink" Target="https://www.revue-rsda.fr/" TargetMode="External"/><Relationship Id="rId14" Type="http://schemas.openxmlformats.org/officeDocument/2006/relationships/hyperlink" Target="https://revuedlf.com/" TargetMode="External"/><Relationship Id="rId15" Type="http://schemas.openxmlformats.org/officeDocument/2006/relationships/hyperlink" Target="https://www.puf.com/droits-et-libertes-fondamentaux-0?v=24145" TargetMode="External"/><Relationship Id="rId16" Type="http://schemas.openxmlformats.org/officeDocument/2006/relationships/hyperlink" Target="https://www.mareetmartin.com/livre/en-finir-avec-les-idees-recues-sur-la-convention-europeenne-des-droits-de-lhomme" TargetMode="External"/><Relationship Id="rId17" Type="http://schemas.openxmlformats.org/officeDocument/2006/relationships/hyperlink" Target="https://shs.hal.science/halshs-05270629v1" TargetMode="External"/><Relationship Id="rId18" Type="http://schemas.openxmlformats.org/officeDocument/2006/relationships/hyperlink" Target="https://hal.science/search/index/?q=*&amp;authFullName_s=Mustapha Afroukh" TargetMode="External"/><Relationship Id="rId19" Type="http://schemas.openxmlformats.org/officeDocument/2006/relationships/hyperlink" Target="https://shs.hal.science/halshs-05331282v1" TargetMode="External"/><Relationship Id="rId20" Type="http://schemas.openxmlformats.org/officeDocument/2006/relationships/hyperlink" Target="https://hal.science/hal-04858246v1" TargetMode="External"/><Relationship Id="rId21" Type="http://schemas.openxmlformats.org/officeDocument/2006/relationships/hyperlink" Target="https://hal.science/search/index/?q=*&amp;authFullName_s=Jean-Pierre Margu&#233;naud" TargetMode="External"/><Relationship Id="rId22" Type="http://schemas.openxmlformats.org/officeDocument/2006/relationships/hyperlink" Target="https://hal.science/hal-04858242v1" TargetMode="External"/><Relationship Id="rId23" Type="http://schemas.openxmlformats.org/officeDocument/2006/relationships/hyperlink" Target="https://hal.science/hal-04858249v1" TargetMode="External"/><Relationship Id="rId24" Type="http://schemas.openxmlformats.org/officeDocument/2006/relationships/hyperlink" Target="https://hal.science/hal-04980992v1" TargetMode="External"/><Relationship Id="rId25" Type="http://schemas.openxmlformats.org/officeDocument/2006/relationships/hyperlink" Target="https://hal.science/search/index/?q=*&amp;authFullName_s=Alexandre Viala" TargetMode="External"/><Relationship Id="rId26" Type="http://schemas.openxmlformats.org/officeDocument/2006/relationships/hyperlink" Target="https://hal.science/hal-04858253v1" TargetMode="External"/><Relationship Id="rId27" Type="http://schemas.openxmlformats.org/officeDocument/2006/relationships/hyperlink" Target="https://hal.science/hal-04858251v1" TargetMode="External"/><Relationship Id="rId28" Type="http://schemas.openxmlformats.org/officeDocument/2006/relationships/hyperlink" Target="https://shs.hal.science/halshs-03696792v1" TargetMode="External"/><Relationship Id="rId29" Type="http://schemas.openxmlformats.org/officeDocument/2006/relationships/hyperlink" Target="https://hal.umontpellier.fr/hal-03896027v1" TargetMode="External"/><Relationship Id="rId30" Type="http://schemas.openxmlformats.org/officeDocument/2006/relationships/hyperlink" Target="https://hal.science/search/index/?q=*&amp;authFullName_s=Julien Bonnet" TargetMode="External"/><Relationship Id="rId31" Type="http://schemas.openxmlformats.org/officeDocument/2006/relationships/hyperlink" Target="https://hal.science/hal-04983053v1" TargetMode="External"/><Relationship Id="rId32" Type="http://schemas.openxmlformats.org/officeDocument/2006/relationships/hyperlink" Target="https://hal.science/search/index/?q=*&amp;authFullName_s=Nata&#537;a Danelciuc-Colodrovschi" TargetMode="External"/><Relationship Id="rId33" Type="http://schemas.openxmlformats.org/officeDocument/2006/relationships/hyperlink" Target="https://hal.science/search/index/?q=*&amp;authFullName_s=Marc Verdussen" TargetMode="External"/><Relationship Id="rId34" Type="http://schemas.openxmlformats.org/officeDocument/2006/relationships/hyperlink" Target="https://hal.science/search/index/?q=*&amp;authFullName_s=V&#233;ronique Boillet" TargetMode="External"/><Relationship Id="rId35" Type="http://schemas.openxmlformats.org/officeDocument/2006/relationships/hyperlink" Target="https://hal.science/search/index/?q=*&amp;authFullName_s=Paolo Passaglia" TargetMode="External"/><Relationship Id="rId36" Type="http://schemas.openxmlformats.org/officeDocument/2006/relationships/hyperlink" Target="https://hal.science/hal-04860775v1" TargetMode="External"/><Relationship Id="rId37" Type="http://schemas.openxmlformats.org/officeDocument/2006/relationships/hyperlink" Target="https://shs.hal.science/halshs-04858589v1" TargetMode="External"/><Relationship Id="rId38" Type="http://schemas.openxmlformats.org/officeDocument/2006/relationships/hyperlink" Target="https://shs.hal.science/halshs-04858572v1" TargetMode="External"/><Relationship Id="rId39" Type="http://schemas.openxmlformats.org/officeDocument/2006/relationships/hyperlink" Target="https://shs.hal.science/halshs-04858569v1" TargetMode="External"/><Relationship Id="rId40" Type="http://schemas.openxmlformats.org/officeDocument/2006/relationships/hyperlink" Target="https://shs.hal.science/halshs-03155073v1" TargetMode="External"/><Relationship Id="rId41" Type="http://schemas.openxmlformats.org/officeDocument/2006/relationships/hyperlink" Target="https://shs.hal.science/halshs-03224586v1" TargetMode="External"/><Relationship Id="rId42" Type="http://schemas.openxmlformats.org/officeDocument/2006/relationships/hyperlink" Target="https://shs.hal.science/halshs-03195948v1" TargetMode="External"/><Relationship Id="rId43" Type="http://schemas.openxmlformats.org/officeDocument/2006/relationships/hyperlink" Target="https://hal.science/search/index/?q=*&amp;authFullName_s=Anne Ponseille" TargetMode="External"/><Relationship Id="rId44" Type="http://schemas.openxmlformats.org/officeDocument/2006/relationships/hyperlink" Target="https://shs.hal.science/halshs-04858583v1" TargetMode="External"/><Relationship Id="rId45" Type="http://schemas.openxmlformats.org/officeDocument/2006/relationships/hyperlink" Target="https://shs.hal.science/halshs-03385117v1" TargetMode="External"/><Relationship Id="rId46" Type="http://schemas.openxmlformats.org/officeDocument/2006/relationships/hyperlink" Target="https://shs.hal.science/halshs-04858576v1" TargetMode="External"/><Relationship Id="rId47" Type="http://schemas.openxmlformats.org/officeDocument/2006/relationships/hyperlink" Target="https://shs.hal.science/halshs-02487685v1" TargetMode="External"/><Relationship Id="rId48" Type="http://schemas.openxmlformats.org/officeDocument/2006/relationships/hyperlink" Target="https://hal.parisnanterre.fr/hal-02076039v1" TargetMode="External"/><Relationship Id="rId49" Type="http://schemas.openxmlformats.org/officeDocument/2006/relationships/hyperlink" Target="https://shs.hal.science/halshs-02450658v1" TargetMode="External"/><Relationship Id="rId50" Type="http://schemas.openxmlformats.org/officeDocument/2006/relationships/hyperlink" Target="https://hal.science/hal-04860777v1" TargetMode="External"/><Relationship Id="rId51" Type="http://schemas.openxmlformats.org/officeDocument/2006/relationships/hyperlink" Target="https://shs.hal.science/halshs-02237664v1" TargetMode="External"/><Relationship Id="rId52" Type="http://schemas.openxmlformats.org/officeDocument/2006/relationships/hyperlink" Target="https://hal.parisnanterre.fr/hal-02076046v1" TargetMode="External"/><Relationship Id="rId53" Type="http://schemas.openxmlformats.org/officeDocument/2006/relationships/hyperlink" Target="https://hal.parisnanterre.fr/hal-02076043v1" TargetMode="External"/><Relationship Id="rId54" Type="http://schemas.openxmlformats.org/officeDocument/2006/relationships/hyperlink" Target="https://hal.science/hal-04860779v1" TargetMode="External"/><Relationship Id="rId55" Type="http://schemas.openxmlformats.org/officeDocument/2006/relationships/hyperlink" Target="https://shs.hal.science/halshs-02227405v1" TargetMode="External"/><Relationship Id="rId56" Type="http://schemas.openxmlformats.org/officeDocument/2006/relationships/hyperlink" Target="https://hal.science/hal-04860785v1" TargetMode="External"/><Relationship Id="rId57" Type="http://schemas.openxmlformats.org/officeDocument/2006/relationships/hyperlink" Target="https://shs.hal.science/halshs-02449098v1" TargetMode="External"/><Relationship Id="rId58" Type="http://schemas.openxmlformats.org/officeDocument/2006/relationships/hyperlink" Target="https://shs.hal.science/halshs-02243573v1" TargetMode="External"/><Relationship Id="rId59" Type="http://schemas.openxmlformats.org/officeDocument/2006/relationships/hyperlink" Target="https://shs.hal.science/halshs-02227071v1" TargetMode="External"/><Relationship Id="rId60" Type="http://schemas.openxmlformats.org/officeDocument/2006/relationships/hyperlink" Target="https://hal.science/hal-04860791v1" TargetMode="External"/><Relationship Id="rId61" Type="http://schemas.openxmlformats.org/officeDocument/2006/relationships/hyperlink" Target="https://shs.hal.science/halshs-02449034v1" TargetMode="External"/><Relationship Id="rId62" Type="http://schemas.openxmlformats.org/officeDocument/2006/relationships/hyperlink" Target="https://hal.science/hal-05062995v1" TargetMode="External"/><Relationship Id="rId63" Type="http://schemas.openxmlformats.org/officeDocument/2006/relationships/hyperlink" Target="https://hal.science/search/index/?q=*&amp;authFullName_s=H&#233;l&#232;ne Hurpy" TargetMode="External"/><Relationship Id="rId64" Type="http://schemas.openxmlformats.org/officeDocument/2006/relationships/hyperlink" Target="https://hal.science/hal-04860790v1" TargetMode="External"/><Relationship Id="rId65" Type="http://schemas.openxmlformats.org/officeDocument/2006/relationships/hyperlink" Target="https://hal.science/search/index/?q=*&amp;authFullName_s=Laurent Coutron" TargetMode="External"/><Relationship Id="rId66" Type="http://schemas.openxmlformats.org/officeDocument/2006/relationships/hyperlink" Target="https://hal.science/hal-04860788v1" TargetMode="External"/><Relationship Id="rId67" Type="http://schemas.openxmlformats.org/officeDocument/2006/relationships/hyperlink" Target="https://shs.hal.science/halshs-02449024v1" TargetMode="External"/><Relationship Id="rId68" Type="http://schemas.openxmlformats.org/officeDocument/2006/relationships/hyperlink" Target="https://hal.umontpellier.fr/hal-03888026v1" TargetMode="External"/><Relationship Id="rId69" Type="http://schemas.openxmlformats.org/officeDocument/2006/relationships/hyperlink" Target="https://shs.hal.science/halshs-02243440v1" TargetMode="External"/><Relationship Id="rId70" Type="http://schemas.openxmlformats.org/officeDocument/2006/relationships/hyperlink" Target="https://hal.science/search/index/?q=*&amp;authFullName_s=Aur&#233;lia Schahmaneche" TargetMode="External"/><Relationship Id="rId71" Type="http://schemas.openxmlformats.org/officeDocument/2006/relationships/hyperlink" Target="https://shs.hal.science/halshs-02243227v1" TargetMode="External"/><Relationship Id="rId72" Type="http://schemas.openxmlformats.org/officeDocument/2006/relationships/hyperlink" Target="https://shs.hal.science/halshs-02243198v1" TargetMode="External"/><Relationship Id="rId73" Type="http://schemas.openxmlformats.org/officeDocument/2006/relationships/hyperlink" Target="https://shs.hal.science/halshs-02448749v1" TargetMode="External"/><Relationship Id="rId74" Type="http://schemas.openxmlformats.org/officeDocument/2006/relationships/hyperlink" Target="https://shs.hal.science/halshs-02237010v1" TargetMode="External"/><Relationship Id="rId75" Type="http://schemas.openxmlformats.org/officeDocument/2006/relationships/hyperlink" Target="https://shs.hal.science/halshs-02212587v1" TargetMode="External"/><Relationship Id="rId76" Type="http://schemas.openxmlformats.org/officeDocument/2006/relationships/hyperlink" Target="https://shs.hal.science/halshs-02219268v1" TargetMode="External"/><Relationship Id="rId77" Type="http://schemas.openxmlformats.org/officeDocument/2006/relationships/hyperlink" Target="https://hal.science/hal-05438790v1" TargetMode="External"/><Relationship Id="rId78" Type="http://schemas.openxmlformats.org/officeDocument/2006/relationships/hyperlink" Target="https://hal.science/search/index/?q=*&amp;authFullName_s=Delphine Costa" TargetMode="External"/><Relationship Id="rId79" Type="http://schemas.openxmlformats.org/officeDocument/2006/relationships/hyperlink" Target="https://hal.science/search/index/?q=*&amp;authFullName_s=Michel Levinet" TargetMode="External"/><Relationship Id="rId80" Type="http://schemas.openxmlformats.org/officeDocument/2006/relationships/hyperlink" Target="https://shs.hal.science/halshs-04858302v1" TargetMode="External"/><Relationship Id="rId81" Type="http://schemas.openxmlformats.org/officeDocument/2006/relationships/hyperlink" Target="https://shs.hal.science/halshs-04858303v1" TargetMode="External"/><Relationship Id="rId82" Type="http://schemas.openxmlformats.org/officeDocument/2006/relationships/hyperlink" Target="https://shs.hal.science/halshs-04858300v1" TargetMode="External"/><Relationship Id="rId83" Type="http://schemas.openxmlformats.org/officeDocument/2006/relationships/hyperlink" Target="https://shs.hal.science/halshs-04858305v1" TargetMode="External"/><Relationship Id="rId84" Type="http://schemas.openxmlformats.org/officeDocument/2006/relationships/hyperlink" Target="https://hal.univ-lyon2.fr/hal-03969370v1" TargetMode="External"/><Relationship Id="rId85" Type="http://schemas.openxmlformats.org/officeDocument/2006/relationships/hyperlink" Target="https://shs.hal.science/halshs-04858566v1" TargetMode="External"/><Relationship Id="rId86" Type="http://schemas.openxmlformats.org/officeDocument/2006/relationships/hyperlink" Target="https://shs.hal.science/halshs-04858561v1" TargetMode="External"/><Relationship Id="rId87" Type="http://schemas.openxmlformats.org/officeDocument/2006/relationships/hyperlink" Target="https://shs.hal.science/halshs-04858558v1" TargetMode="External"/><Relationship Id="rId88" Type="http://schemas.openxmlformats.org/officeDocument/2006/relationships/hyperlink" Target="https://hal.science/hal-02518406v1" TargetMode="External"/><Relationship Id="rId89" Type="http://schemas.openxmlformats.org/officeDocument/2006/relationships/hyperlink" Target="https://hal.science/search/index/?q=*&amp;authFullName_s=Marc Blanquet" TargetMode="External"/><Relationship Id="rId90" Type="http://schemas.openxmlformats.org/officeDocument/2006/relationships/hyperlink" Target="https://hal.science/search/index/?q=*&amp;authFullName_s=Nathalie de Grove-Valdeyron" TargetMode="External"/><Relationship Id="rId91" Type="http://schemas.openxmlformats.org/officeDocument/2006/relationships/hyperlink" Target="https://hal.science/search/index/?q=*&amp;authFullName_s=Christophe Maubernard" TargetMode="External"/><Relationship Id="rId92" Type="http://schemas.openxmlformats.org/officeDocument/2006/relationships/hyperlink" Target="https://hal.science/search/index/?q=*&amp;authFullName_s=Claire Vial" TargetMode="External"/><Relationship Id="rId93" Type="http://schemas.openxmlformats.org/officeDocument/2006/relationships/hyperlink" Target="https://hal.science/hal-02459826v1" TargetMode="External"/><Relationship Id="rId94" Type="http://schemas.openxmlformats.org/officeDocument/2006/relationships/hyperlink" Target="https://hal.science/search/index/?q=*&amp;authFullName_s=Fran&#231;ois Dieu" TargetMode="External"/><Relationship Id="rId95" Type="http://schemas.openxmlformats.org/officeDocument/2006/relationships/hyperlink" Target="https://hal.science/search/index/?q=*&amp;authFullName_s=Christophe Maubenard" TargetMode="External"/><Relationship Id="rId96" Type="http://schemas.openxmlformats.org/officeDocument/2006/relationships/hyperlink" Target="https://hal.science/hal-04860817v1" TargetMode="External"/><Relationship Id="rId97" Type="http://schemas.openxmlformats.org/officeDocument/2006/relationships/hyperlink" Target="https://hal.science/hal-04860820v1" TargetMode="External"/><Relationship Id="rId98" Type="http://schemas.openxmlformats.org/officeDocument/2006/relationships/hyperlink" Target="https://hal.science/hal-04860795v1" TargetMode="External"/><Relationship Id="rId99" Type="http://schemas.openxmlformats.org/officeDocument/2006/relationships/hyperlink" Target="https://hal.science/hal-04860801v1" TargetMode="External"/><Relationship Id="rId100" Type="http://schemas.openxmlformats.org/officeDocument/2006/relationships/hyperlink" Target="https://hal.science/hal-04860815v1" TargetMode="External"/><Relationship Id="rId101" Type="http://schemas.openxmlformats.org/officeDocument/2006/relationships/hyperlink" Target="https://hal.science/hal-04860799v1" TargetMode="External"/><Relationship Id="rId102" Type="http://schemas.openxmlformats.org/officeDocument/2006/relationships/hyperlink" Target="https://hal.science/hal-04860794v1" TargetMode="External"/><Relationship Id="rId103" Type="http://schemas.openxmlformats.org/officeDocument/2006/relationships/hyperlink" Target="https://hal.science/hal-04860807v1" TargetMode="External"/><Relationship Id="rId104" Type="http://schemas.openxmlformats.org/officeDocument/2006/relationships/hyperlink" Target="https://shs.hal.science/halshs-04858286v1" TargetMode="External"/><Relationship Id="rId105" Type="http://schemas.openxmlformats.org/officeDocument/2006/relationships/hyperlink" Target="https://shs.hal.science/halshs-03977041v1" TargetMode="External"/><Relationship Id="rId106" Type="http://schemas.openxmlformats.org/officeDocument/2006/relationships/hyperlink" Target="https://shs.hal.science/halshs-04858279v1" TargetMode="External"/><Relationship Id="rId107" Type="http://schemas.openxmlformats.org/officeDocument/2006/relationships/hyperlink" Target="https://hal.umontpellier.fr/hal-03720155v1" TargetMode="External"/><Relationship Id="rId108" Type="http://schemas.openxmlformats.org/officeDocument/2006/relationships/hyperlink" Target="https://shs.hal.science/halshs-04858290v1" TargetMode="External"/><Relationship Id="rId109" Type="http://schemas.openxmlformats.org/officeDocument/2006/relationships/hyperlink" Target="https://shs.hal.science/halshs-04858294v1" TargetMode="External"/><Relationship Id="rId110" Type="http://schemas.openxmlformats.org/officeDocument/2006/relationships/hyperlink" Target="https://shs.hal.science/halshs-04858295v1" TargetMode="External"/><Relationship Id="rId111" Type="http://schemas.openxmlformats.org/officeDocument/2006/relationships/hyperlink" Target="https://shs.hal.science/halshs-04858600v1" TargetMode="External"/><Relationship Id="rId112" Type="http://schemas.openxmlformats.org/officeDocument/2006/relationships/hyperlink" Target="https://hal.science/hal-04861035v1" TargetMode="External"/><Relationship Id="rId113" Type="http://schemas.openxmlformats.org/officeDocument/2006/relationships/hyperlink" Target="https://hal.science/search/index/?q=*&amp;authFullName_s=Eric Sales" TargetMode="External"/><Relationship Id="rId114" Type="http://schemas.openxmlformats.org/officeDocument/2006/relationships/hyperlink" Target="https://hal.umontpellier.fr/hal-03720220v1" TargetMode="External"/><Relationship Id="rId115" Type="http://schemas.openxmlformats.org/officeDocument/2006/relationships/hyperlink" Target="https://hal.science/hal-04858905v1" TargetMode="External"/><Relationship Id="rId116" Type="http://schemas.openxmlformats.org/officeDocument/2006/relationships/hyperlink" Target="https://hal.science/hal-04982355v1" TargetMode="External"/><Relationship Id="rId117" Type="http://schemas.openxmlformats.org/officeDocument/2006/relationships/hyperlink" Target="https://hal.science/search/index/?q=*&amp;authFullName_s=Pierre-Yves Gahdoun" TargetMode="External"/><Relationship Id="rId118" Type="http://schemas.openxmlformats.org/officeDocument/2006/relationships/hyperlink" Target="https://hal.science/hal-04858875v1" TargetMode="External"/><Relationship Id="rId119" Type="http://schemas.openxmlformats.org/officeDocument/2006/relationships/hyperlink" Target="https://hal.science/hal-04858884v1" TargetMode="External"/><Relationship Id="rId120" Type="http://schemas.openxmlformats.org/officeDocument/2006/relationships/hyperlink" Target="https://hal.science/hal-04858885v1" TargetMode="External"/><Relationship Id="rId121" Type="http://schemas.openxmlformats.org/officeDocument/2006/relationships/hyperlink" Target="https://hal.science/hal-04858889v1" TargetMode="External"/><Relationship Id="rId122" Type="http://schemas.openxmlformats.org/officeDocument/2006/relationships/hyperlink" Target="https://hal.science/hal-04858887v1" TargetMode="External"/><Relationship Id="rId123" Type="http://schemas.openxmlformats.org/officeDocument/2006/relationships/hyperlink" Target="https://shs.hal.science/halshs-03896162v1" TargetMode="External"/><Relationship Id="rId124" Type="http://schemas.openxmlformats.org/officeDocument/2006/relationships/hyperlink" Target="https://dx.doi.org/10.3917/rtdh.131.0565" TargetMode="External"/><Relationship Id="rId125" Type="http://schemas.openxmlformats.org/officeDocument/2006/relationships/hyperlink" Target="https://hal.science/tel-04858895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mustapha afroukh</dc:title>
  <dc:description>CV</dc:description>
  <dc:subject/>
  <cp:keywords/>
  <cp:category/>
  <cp:lastModifiedBy/>
  <dcterms:created xsi:type="dcterms:W3CDTF">2026-03-15T22:08:23+01:00</dcterms:created>
  <dcterms:modified xsi:type="dcterms:W3CDTF">2026-03-15T22:08:23+01:00</dcterms:modified>
</cp:coreProperties>
</file>

<file path=docProps/custom.xml><?xml version="1.0" encoding="utf-8"?>
<Properties xmlns="http://schemas.openxmlformats.org/officeDocument/2006/custom-properties" xmlns:vt="http://schemas.openxmlformats.org/officeDocument/2006/docPropsVTypes"/>
</file>