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Barrandon </w:t>
      </w:r>
      <w:r>
        <w:rPr>
          <w:color w:val="641e6e"/>
        </w:rPr>
        <w:t xml:space="preserve">Professeure d'Histoire Ancienne - URCA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nathalie-barrandon</w:t>
        </w:r>
      </w:hyperlink>
    </w:p>
    <w:p>
      <w:pPr>
        <w:numPr>
          <w:ilvl w:val="0"/>
          <w:numId w:val="1"/>
        </w:numPr>
      </w:pPr>
      <w:r>
        <w:rPr/>
        <w:t xml:space="preserve"> ORCID : </w:t>
      </w:r>
      <w:hyperlink r:id="rId8" w:history="1">
        <w:r>
          <w:rPr>
            <w:color w:val="#410a8c"/>
            <w:u w:val="single"/>
          </w:rPr>
          <w:t xml:space="preserve">0000-0002-5830-5400</w:t>
        </w:r>
      </w:hyperlink>
    </w:p>
    <w:p>
      <w:pPr>
        <w:numPr>
          <w:ilvl w:val="0"/>
          <w:numId w:val="1"/>
        </w:numPr>
      </w:pPr>
      <w:r>
        <w:rPr/>
        <w:t xml:space="preserve"> IdRef : </w:t>
      </w:r>
      <w:hyperlink r:id="rId9" w:history="1">
        <w:r>
          <w:rPr>
            <w:color w:val="#410a8c"/>
            <w:u w:val="single"/>
          </w:rPr>
          <w:t xml:space="preserve">098813471</w:t>
        </w:r>
      </w:hyperlink>
    </w:p>
    <w:p>
      <w:pPr>
        <w:numPr>
          <w:ilvl w:val="0"/>
          <w:numId w:val="1"/>
        </w:numPr>
      </w:pPr>
      <w:r>
        <w:rPr/>
        <w:t xml:space="preserve"> VIAF : </w:t>
      </w:r>
      <w:hyperlink r:id="rId10" w:history="1">
        <w:r>
          <w:rPr>
            <w:color w:val="#410a8c"/>
            <w:u w:val="single"/>
          </w:rPr>
          <w:t xml:space="preserve">107631904</w:t>
        </w:r>
      </w:hyperlink>
    </w:p>
    <w:p>
      <w:pPr>
        <w:numPr>
          <w:ilvl w:val="0"/>
          <w:numId w:val="1"/>
        </w:numPr>
      </w:pPr>
      <w:r>
        <w:rPr/>
        <w:t xml:space="preserve"> ISNI : </w:t>
      </w:r>
      <w:hyperlink r:id="rId11" w:history="1">
        <w:r>
          <w:rPr>
            <w:color w:val="#410a8c"/>
            <w:u w:val="single"/>
          </w:rPr>
          <w:t xml:space="preserve">0000000078548368</w:t>
        </w:r>
      </w:hyperlink>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CURSUS</w:t>
      </w:r>
    </w:p>
    <w:p>
      <w:pPr/>
      <w:r>
        <w:rPr/>
        <w:t xml:space="preserve">•	1997 : Agrégation Externe d’Histoire•	1999 : DEA d’Histoire – sous la direction de J.-M. David, université Paris I ; mémoire : « La vision de la péninsule Ibérique pendant la deuxième Guerre punique chez Polybe, Tite-Live et Appien »•2005 : Doctorat d’Histoire  – sous la direction de J.-M. Roddaz, Université Bordeaux III ; thèse : « De la conquête à la pacification, les mutations des sociétés indigènes en Hispanie septentrionale et centrale, de la chute de Numance aux guerres asturo-cantabres (133-26 av. I.-C.) »•	2017 : Habilitation à Diriger des Recherches en Histoire et Archéologie des Mondes Anciens, délivrée par l’université Paris Nanterre - référent F. Hurlet  « La domination romaine de 218 à 31 av. J.-C. : massacres, administration des provinces et processus d’acculturation ».</w:t>
      </w:r>
    </w:p>
    <w:p>
      <w:pPr>
        <w:pStyle w:val="Heading1"/>
      </w:pPr>
      <w:r>
        <w:rPr/>
        <w:t xml:space="preserve">POSTES OCCUPÉS</w:t>
      </w:r>
    </w:p>
    <w:p>
      <w:pPr/>
      <w:r>
        <w:rPr/>
        <w:t xml:space="preserve">•	1997-2000 : Enseignante dans le Secondaire•	2000-2001 : ATER en Histoire Ancienne à l’université d'Orléans•	2001-2003 : Membre de l'EHEHI-Casa de Velázquez à Madrid•	2003-2005 : ATER en Histoire Ancienne à l’université de Perpignan•	2005-2006 : ATER en Histoire Ancienne à l’université de Clermont-Ferrand•	2006-2018 : MCF en Histoire romaine à l’université de Nantes•	1er sept. 2018 : PR en Histoire ancienne à l’université de Reims-Champagne Ardenne</w:t>
      </w:r>
    </w:p>
    <w:p>
      <w:pPr>
        <w:pStyle w:val="Heading1"/>
      </w:pPr>
      <w:r>
        <w:rPr/>
        <w:t xml:space="preserve">RESPONSABILITÉS PÉDAGOGIQUES ET ADMINISTRATIVES</w:t>
      </w:r>
    </w:p>
    <w:p>
      <w:pPr/>
      <w:r>
        <w:rPr>
          <w:i w:val="1"/>
          <w:iCs w:val="1"/>
        </w:rPr>
        <w:t xml:space="preserve">MISSIONS NATIONALES</w:t>
      </w:r>
      <w:r>
        <w:rPr/>
        <w:t xml:space="preserve">2009-2012 : Membre du Jury de l’écrit de l’Agrégation Externe d’Histoire2011-2015 : Membre nommée du CNU section 21 rang B, suppléante puis titulaire (qualification, promotion, CRCT, PEDR, suivi de carrière)2016-2018 : Membre élue du CNU section 21 rang B : suppléante</w:t>
      </w:r>
    </w:p>
    <w:p>
      <w:pPr/>
      <w:r>
        <w:rPr>
          <w:i w:val="1"/>
          <w:iCs w:val="1"/>
        </w:rPr>
        <w:t xml:space="preserve">UNIVERSITÉ DE NANTES (2006-2018)</w:t>
      </w:r>
    </w:p>
    <w:p>
      <w:pPr>
        <w:numPr>
          <w:ilvl w:val="0"/>
          <w:numId w:val="2"/>
        </w:numPr>
      </w:pPr>
      <w:r>
        <w:rPr/>
        <w:t xml:space="preserve">DÉPARTEMENT HISTOIRE•	2012-2016 : Vice-présidente de Licence 2•	2016-2017 : Responsable de la Licence 2e année (environ 150 étudiants, quatre parcours) et membre de la commission de VAE et Campus France•	2017-2018 : Responsable de la Licence (environ 650 étudiants, quatre parcours)•	2017-2018 : Directrice du Département Histoire (environ 800 étudiants, une licence et trois masters, 28 enseignants titulaires, environ 100 chargés de cours et 2 secrétaires)</w:t>
      </w:r>
    </w:p>
    <w:p>
      <w:pPr>
        <w:numPr>
          <w:ilvl w:val="0"/>
          <w:numId w:val="2"/>
        </w:numPr>
      </w:pPr>
      <w:r>
        <w:rPr/>
        <w:t xml:space="preserve">UFR HISTOIRE, HISTOIRE DE L’ART ET ARCHÉOLOGIE•	2009-2013 et 2016-2017 : Membre élue du Conseil Scientifique de l’UFR•	2010 : Présidente d’un jury du Bac général (Rectorat de Nantes) au Lycée La Colinière•	2017-2018 : Membre invitée aux Conseils de l’UFR (scientifique et gestion) en tant que directrice du département d’Histoire•	2016 : Présidente d’un jury du Bac général (Rectorat de Nantes) au Lycée Camus</w:t>
      </w:r>
    </w:p>
    <w:p>
      <w:pPr>
        <w:numPr>
          <w:ilvl w:val="0"/>
          <w:numId w:val="2"/>
        </w:numPr>
      </w:pPr>
      <w:r>
        <w:rPr/>
        <w:t xml:space="preserve">UNIVERSITÉ•	2016-2018 : Membre du Conseil Universitaire des Relations Internationales (CURI), représentante de l’UFR Histoire, Histoire de l’Art et Archéologie•	2017-2018 : Participation aux groupes de travail de la DEVU sur l’engagement étudiant, le supplément au diplôme et le conseil de perfectionnement</w:t>
      </w:r>
    </w:p>
    <w:p>
      <w:pPr/>
      <w:r>
        <w:rPr>
          <w:i w:val="1"/>
          <w:iCs w:val="1"/>
        </w:rPr>
        <w:t xml:space="preserve">UNIVERSITÉ DE REIMS – CHAMPAGNE ARDENNE (DEPUIS 2018)</w:t>
      </w:r>
    </w:p>
    <w:p>
      <w:pPr>
        <w:numPr>
          <w:ilvl w:val="0"/>
          <w:numId w:val="3"/>
        </w:numPr>
      </w:pPr>
      <w:r>
        <w:rPr/>
        <w:t xml:space="preserve">DÉPARTEMENT HISTOIRE•	2018-2023 : Membre du Jury, du Conseil de perfectionnement et du Comité de sélection du Master Histoire Normes, Cultures et Pouvoirs•	2019-2021 : Responsable de la Licence Histoire (environ 500 étudiants, 3 parcours, 2 sites) - Emplois du temps, Maquette, Livret de l’étudiant, Conseil de perfectionnement, Évaluation, Supplément au diplôme, Budget et Jurys) - Responsable de la sélection des candidats au programme Campus France et membre du comité Parcoursup•	2019-2022 : Co-responsable de la Licence Histoire-Lettres Classiques (Emplois du temps, Maquette et Membre du Jury) –•	2022-23 : participation à l’autoévaluation et aux nouvelles maquettes des mentions Licence et Master Histoire en tant qu’ancienne responsable de la licence et future responsable du Master. Création d’un second parcours du Master : Histoire, Cultures matérielles, Productions visuelles et Usages numériques.•	2023- : Responsable du Master Histoire (Présidence de la commission MonMaster et ÉtudesenFrance, Maquettes, Livret de l’étudiant, Présidence du Conseil de perfectionnement, Présidence du jury, Supplément au diplôme)</w:t>
      </w:r>
    </w:p>
    <w:p>
      <w:pPr>
        <w:numPr>
          <w:ilvl w:val="0"/>
          <w:numId w:val="3"/>
        </w:numPr>
      </w:pPr>
      <w:r>
        <w:rPr/>
        <w:t xml:space="preserve">UFR LETTRES ET SCIENCES HUMAINES (ARTS, LANGUES, HUMANITÉS ET SOCIÉTÉS) – 11 départements, 4 226 étudiants, 156 enseignants, 28 BIATSS, 14 licences et 8 Masters•	2018-2022 : Membre élue du Conseil de Gestion•	2019-2021 : Membre nommée de la Commission Pédagogique•	2021 : Participation au groupe de travail sur les Statuts de l’UFR•	2023- : Membre invitée de la Commission Pédagogique</w:t>
      </w:r>
    </w:p>
    <w:p>
      <w:pPr>
        <w:numPr>
          <w:ilvl w:val="0"/>
          <w:numId w:val="3"/>
        </w:numPr>
      </w:pPr>
      <w:r>
        <w:rPr/>
        <w:t xml:space="preserve">CERHIC (UR 2626)•	2024-28 : Directrice adjointe du laboratoire</w:t>
      </w:r>
    </w:p>
    <w:p>
      <w:pPr>
        <w:numPr>
          <w:ilvl w:val="0"/>
          <w:numId w:val="3"/>
        </w:numPr>
      </w:pPr>
      <w:r>
        <w:rPr/>
        <w:t xml:space="preserve">UNIVERSITÉ•	2020-2024 : Membre élue du Conseil d’Administration•	2020-2024 : Membre nommée du Comité électoral consultatif•	2024- : Membre du conseil de l'Ecole Doctorale - SHS</w:t>
      </w:r>
    </w:p>
    <w:p>
      <w:pPr>
        <w:pStyle w:val="Heading1"/>
      </w:pPr>
      <w:r>
        <w:rPr/>
        <w:t xml:space="preserve">RECHERCHE (depuis 2018)</w:t>
      </w:r>
    </w:p>
    <w:p>
      <w:pPr/>
      <w:r>
        <w:rPr>
          <w:i w:val="1"/>
          <w:iCs w:val="1"/>
        </w:rPr>
        <w:t xml:space="preserve">MEMBRE DU CERHIC-EA 2616 (Centre d’Étude et de Recherche en Histoire Culturelle) – URCA</w:t>
      </w:r>
    </w:p>
    <w:p>
      <w:pPr>
        <w:numPr>
          <w:ilvl w:val="0"/>
          <w:numId w:val="4"/>
        </w:numPr>
      </w:pPr>
      <w:r>
        <w:rPr/>
        <w:t xml:space="preserve">Membre de ReFEReR, réseau franco-espagnol sur la République romaine, constitué de 12 chercheurs français et 12 chercheurs espagnols spécialistes de la République romaine en vue du développement de collaborations scientifiques et projets de recherches européens.</w:t>
      </w:r>
    </w:p>
    <w:p>
      <w:pPr>
        <w:numPr>
          <w:ilvl w:val="0"/>
          <w:numId w:val="4"/>
        </w:numPr>
      </w:pPr>
      <w:r>
        <w:rPr/>
        <w:t xml:space="preserve">Co-organisation de la troisième table ronde du programme sur La transgression en temps de guerre de l’Antiquité à nos jours avec I. Pimouguet-Pedarros (université de Nantes), à Nantes en juillet 2019, soutenue par le CRHIA, l’UFR HHAA de Nantes et le CERHiC. Co-éditrice des actes, PUR - 2021</w:t>
      </w:r>
    </w:p>
    <w:p>
      <w:pPr>
        <w:numPr>
          <w:ilvl w:val="0"/>
          <w:numId w:val="4"/>
        </w:numPr>
      </w:pPr>
      <w:r>
        <w:rPr/>
        <w:t xml:space="preserve">2019-24 : Partenaire principale du Programme ANR PARABAINO « Massacres, violences extrêmes et transgression en temps de guerre (Antiquité grecque et romaine) » - 181 806,00 € (ANR-19-FGEN-0002), sous la responsabilité de I. Pimouguet-Pedarros (Nantes Université-CRHIA) avec une équipe de 18 chercheurs européens, un post-doctorant et quatre doctorants. Rédaction du projet, participation aux travaux scientifiques, responsable du site internet et organisatrice du colloque final (colloque international pluridisciplinaire et transpériode à Reims en 2023) et de sa publication</w:t>
      </w:r>
    </w:p>
    <w:p>
      <w:pPr>
        <w:numPr>
          <w:ilvl w:val="0"/>
          <w:numId w:val="4"/>
        </w:numPr>
      </w:pPr>
      <w:r>
        <w:rPr/>
        <w:t xml:space="preserve">2021-22 : Co-responsable du Séminaire général du CERHiC – Master recherche Histoire de URCA – 8 séances</w:t>
      </w:r>
    </w:p>
    <w:p>
      <w:pPr>
        <w:numPr>
          <w:ilvl w:val="0"/>
          <w:numId w:val="4"/>
        </w:numPr>
      </w:pPr>
      <w:r>
        <w:rPr/>
        <w:t xml:space="preserve">2018-22 - Membre du Programme espagnol “El regalo diplomático: simbología, ritualidad y política en el contexto de la expansión romano-republicana (siglos III-I a.C.) (Referencia PGC2018-096415-B-C21/22)”, coordonné par E. Sánchez Moreno (UAM) et E. García Riaza (Universitat de les Illes Balears)</w:t>
      </w:r>
    </w:p>
    <w:p>
      <w:pPr>
        <w:numPr>
          <w:ilvl w:val="0"/>
          <w:numId w:val="4"/>
        </w:numPr>
      </w:pPr>
      <w:r>
        <w:rPr/>
        <w:t xml:space="preserve">2022-26 - Membre du Programme espagnol &amp;quot;Entornos para el diálogo: los espacios de la diplomacia en el ámbito provincial romano durante la República (IANVA) PID2022-137408NB-I00” coordonné par E. García Riaza (Universitat de les Illes Balears)</w:t>
      </w:r>
    </w:p>
    <w:p>
      <w:pPr/>
      <w:r>
        <w:rPr>
          <w:i w:val="1"/>
          <w:iCs w:val="1"/>
        </w:rPr>
        <w:t xml:space="preserve">MISSIONS NATIONALES ET INTERNATIONALES D’EXPERTISE</w:t>
      </w:r>
      <w:r>
        <w:rPr>
          <w:b w:val="1"/>
          <w:bCs w:val="1"/>
        </w:rPr>
        <w:t xml:space="preserve">Recrutement/financement</w:t>
      </w:r>
      <w:r>
        <w:rPr/>
        <w:t xml:space="preserve">•	Membre extérieur de comités de sélection pour le recrutement d’un.e Maîtr.ess.es de Conférences en Histoire romaine ou Ancienne : 2022 - Université Paris I / 2023 - Université Paris VIII et Université de Lyon III / 2024 - Sorbonne Université•	Membre extérieur de comités de sélection pour le recrutement d’un.e Professeur.e en Histoire romaine : 2022 : Université de Lyon III / 2023 : Université de Bordeaux Montaigne /2024 : Université de Lyon II•	Membre du comité de promotion « repyramidage » pour un poste de professeur en section 21 à l’Université Paris 1 en 2023•	Évaluation dossiers Ripec 3 : Sorbonne Université-EHESS - 2023 / Université de Toulouse 2 - 2024•	Membre interne de comités de sélection de l’URCA  : MCF Histoire moderne - 2020 / MCF  Histoire médiévale - 2021 / PR histoire contemporaine - 2023•	Membre de la commission de recrutement &amp;quot;Antiquité-Moyen Âge&amp;quot; des membres de l’École des hautes études hispaniques et ibériques - Casa de Velázquez : Promotion 2019-2020 et Promotion 2020-2021•	Expert-évaluateur à distance (recrutement, post-doctorat ou bourses de thèse) :F.R.S/FNRS – Belgique (équivalent CNRS)Fondation Auschwitz de Bruxelles-BelgiqueMadrid Institute for advanced study (MIAS- European network of Institutes for Advanced Studies) – EspagneÉcole des hautes études hispaniques et ibériques - Casa de Velázquez•	Expert-évaluateur à distance (Financement de projets scientifiques) :ANR - France - AAPGF.R.S/FNRS – Belgique (équivalent CNRS)Agencia Estatal de Investigación – Espagne (équivalent ANR)</w:t>
      </w:r>
      <w:r>
        <w:rPr>
          <w:b w:val="1"/>
          <w:bCs w:val="1"/>
        </w:rPr>
        <w:t xml:space="preserve">Edition</w:t>
      </w:r>
      <w:r>
        <w:rPr/>
        <w:t xml:space="preserve">•	Membre du comité scientifique et du comité éditorial de la Revue internationale d’Histoire Militaire Ancienne [HiMA] – Université Paris-Sorbonne•	Membre du comité scientifique de la collection « Libera Res Publica » des Presses Universitaires de Saragosse et de l’Université de Séville (Espagne)•	Membre du comité scientifique de la revue Deimos Zeitschrift für antike Militärgeschichte, Journal for Ancient Military History - Universitätsbibliothek Heidelberg (Allemagne)•	Rapports d’expertise avant publication (articles, dossiers et livres) : Cahiers du Centre Glotz (France) ; Dialogues d’histoire ancienne (France) ; Historia : Zeitschrift für alte Geschichte (Allemagne) ; Ktèma (France) ; Latomus (Belgique) ; Palaeohispanica. Journal on the languages and cultures of Ancient Hispania (Espagne) ; Pallas (France) ; Presses Universitaires du Septentrion (France) ; Revue des Études Anciennes (France) ; Revista Universitaria de Historia Militar (Espagne) ; Romana Res Publica (Italie)</w:t>
      </w:r>
    </w:p>
    <w:p>
      <w:pPr/>
      <w:r>
        <w:rPr>
          <w:i w:val="1"/>
          <w:iCs w:val="1"/>
        </w:rPr>
        <w:t xml:space="preserve">THÈSES DE DOCTORAT</w:t>
      </w:r>
      <w:r>
        <w:rPr>
          <w:b w:val="1"/>
          <w:bCs w:val="1"/>
        </w:rPr>
        <w:t xml:space="preserve">Direction</w:t>
      </w:r>
      <w:r>
        <w:rPr/>
        <w:t xml:space="preserve">•	Thibault Carbonnot, LESGUR, « les émotions des soldats romains dans la guerre romaine », URCA-CERHiC, financement 2021-2024 – 100%•	Eva Martin, « Les femmes et la violence extrême dans l’Antiquité grecque et romaine (époque hellénistique et république romaine) », co-direction avec I. Pimouguet-Pedarros, Nantes Université-CHRIA, financement 2023-2026 – 50%</w:t>
      </w:r>
      <w:r>
        <w:rPr>
          <w:b w:val="1"/>
          <w:bCs w:val="1"/>
        </w:rPr>
        <w:t xml:space="preserve">Membre de Comités de suivi de thèse</w:t>
      </w:r>
      <w:r>
        <w:rPr/>
        <w:t xml:space="preserve">•	Nicolas Marincic ; thèse dirigée par Frédéric Hurlet et intitulée « Les faisceaux romains comme insignes du pouvoir à Rome, des origines à la fin de l’Antiquité » 2020-2023 - Université Paris X Nanterre•	Pierre-Emmanuel Lebonnois ; thèse dirigée par Isabelle Pimouguet-Pedarros et Sylvain Doussot et intitulée « La guerre d’anéantissement dans l’Antiquité : mises en perspective avec les expériences génocidaires de l’époque contemporaine. Approches historiographique et didactique » depuis novembre 2021 – Nantes Université•	Loïc Pierrot ; thèse dirigée par Isabelle Heullant-Donat et Cécile Caby et intitulée : Le martyre et ses figures dans l’Italie du Quattrocento. Culture humaniste, identités observantes et réforme ecclésiale - juin 2023 – URCA</w:t>
      </w:r>
      <w:r>
        <w:rPr>
          <w:b w:val="1"/>
          <w:bCs w:val="1"/>
        </w:rPr>
        <w:t xml:space="preserve">Jury (France)</w:t>
      </w:r>
      <w:r>
        <w:rPr/>
        <w:t xml:space="preserve">•	Rédaction du rapport préliminaire et Présidente du jury de la thèse de Doctorat de S. Hulot, intitulée : La violence de guerre dans le monde romain (fin du IIIème s. av. J.-C. – fin du Ier s. ap. J.-C.), réalisée sous la direction de F. Cadiou et de J.-P. Guilhembet et soutenue en novembre 2019 à l’université de Bordeaux III•	Rédaction du rapport préliminaire et Membre du jury de la thèse de Doctorat de J. Bothorel, intitulée : Le tirage au sort des provinces sous la République romaine et au début du Principat (227 av. J.-C. – 14 ap. J.-C.) », réalisée sous la direction de F. Hurlet et soutenue en novembre 2019 à l’université Paris X Nanterre•	Rédaction du rapport préliminaire et Membre du jury de la thèse de Doctorat de Juan P. Prieto Iommi, intitulée : Romana arma non ante visa. Las guerras romanas en el Oriente helenistίco: desde las expediciones ilirias hasta hegemonίa militar (229-194 a.C.), réalisée sous la direction de F. Cadiou et soutenue en décembre 2023 à l’Université Bordeaux Montaigne</w:t>
      </w:r>
      <w:r>
        <w:rPr>
          <w:b w:val="1"/>
          <w:bCs w:val="1"/>
        </w:rPr>
        <w:t xml:space="preserve">Jury (Espagne)</w:t>
      </w:r>
      <w:r>
        <w:rPr/>
        <w:t xml:space="preserve">•	Présidente du jury de la thèse de Doctorat de G. Rosselló Calafell, intitulée : « Legati ab Carthagine. Representación de la praxis diplomática púnica en las fuentes filorromanas », réalisée sous la direction de E. García Riaza et soutenue en octobre 2020 à l’université des Iles Baléares•	Rédaction du rapport préliminaire de la thèse de Doctorat de R. Escorihuela, intitulée : Disciplina e insurrección en el ejército romano: Un estudio sobre el comportamiento del soldado romano al final de la República, réalisée sous la direction de F. Pina Polo et soutenue en 2023 à l’université de Saragosse•	Rédaction du rapport préliminaire de la thèse de Doctorat de D. Suárez Martínez, intitulée : El combate singular como lenguaje de poder y representación aristocrática en el ámbito de la expansión romana por el Mediterráneo (siglos III-I a.C.), réalisée sous la direction de E. Sánchez Moreno et J. García Cardiel et soutenue en 2024 à l’université autonome de Madrid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Romans and the Gifts from the Greeks. The Story of an Ostentatious Rejection</w:t>
              </w:r>
            </w:hyperlink>
          </w:p>
          <w:p>
            <w:pPr/>
            <w:hyperlink r:id="rId13" w:history="1">
              <w:r>
                <w:rPr>
                  <w:color w:val="#410a8c"/>
                  <w:u w:val="single"/>
                </w:rPr>
                <w:t xml:space="preserve">Nathalie Barrandon</w:t>
              </w:r>
            </w:hyperlink>
            <w:r>
              <w:rPr/>
              <w:t xml:space="preserve">,</w:t>
            </w:r>
            <w:hyperlink r:id="rId14" w:history="1">
              <w:r>
                <w:rPr>
                  <w:color w:val="#410a8c"/>
                  <w:u w:val="single"/>
                </w:rPr>
                <w:t xml:space="preserve">Enrique García Riaza</w:t>
              </w:r>
            </w:hyperlink>
            <w:r>
              <w:rPr/>
              <w:t xml:space="preserve">,</w:t>
            </w:r>
            <w:hyperlink r:id="rId15" w:history="1">
              <w:r>
                <w:rPr>
                  <w:color w:val="#410a8c"/>
                  <w:u w:val="single"/>
                </w:rPr>
                <w:t xml:space="preserve">Anthony-Marc Sanz</w:t>
              </w:r>
            </w:hyperlink>
          </w:p>
          <w:p>
            <w:pPr/>
            <w:r>
              <w:rPr/>
              <w:t xml:space="preserve">Eduardo Sánchez Moreno; Enrique García Riaza. </w:t>
            </w:r>
            <w:r>
              <w:rPr>
                <w:i w:val="1"/>
                <w:iCs w:val="1"/>
              </w:rPr>
              <w:t xml:space="preserve">The Materiality of Diplomacy in the Hellenistic-Roman Mediterranean. Gifts, Bribes, Offerings</w:t>
            </w:r>
            <w:r>
              <w:rPr/>
              <w:t xml:space="preserve">, Edinburgh University Press, pp.108-129, 2024</w:t>
            </w:r>
          </w:p>
          <w:p>
            <w:pPr/>
            <w:r>
              <w:rPr/>
              <w:t xml:space="preserve">Chapitre d'ouvrage</w:t>
            </w:r>
          </w:p>
          <w:p>
            <w:pPr/>
            <w:hyperlink r:id="rId12" w:history="1">
              <w:r>
                <w:rPr>
                  <w:color w:val="#410a8c"/>
                  <w:u w:val="single"/>
                </w:rPr>
                <w:t xml:space="preserve">hal-04648117v1</w:t>
              </w:r>
            </w:hyperlink>
          </w:p>
        </w:tc>
      </w:tr>
      <w:tr>
        <w:trPr/>
        <w:tc>
          <w:tcPr>
            <w:noWrap/>
          </w:tcPr>
          <w:p>
            <w:pPr>
              <w:spacing w:after="200"/>
            </w:pPr>
            <w:hyperlink r:id="rId16" w:history="1">
              <w:r>
                <w:rPr>
                  <w:color w:val="1e198e"/>
                  <w:b w:val="1"/>
                  <w:bCs w:val="1"/>
                  <w:u w:val="single"/>
                </w:rPr>
                <w:t xml:space="preserve">La transgression dans la guerre à l’époque de Cicéron : droit et cruauté</w:t>
              </w:r>
            </w:hyperlink>
          </w:p>
          <w:p>
            <w:pPr/>
            <w:hyperlink r:id="rId13" w:history="1">
              <w:r>
                <w:rPr>
                  <w:color w:val="#410a8c"/>
                  <w:u w:val="single"/>
                </w:rPr>
                <w:t xml:space="preserve">Nathalie Barrandon</w:t>
              </w:r>
            </w:hyperlink>
          </w:p>
          <w:p>
            <w:pPr/>
            <w:r>
              <w:rPr/>
              <w:t xml:space="preserve">Nathalie Barrandon et Isabelle Pimouguet-Pedarros. </w:t>
            </w:r>
            <w:r>
              <w:rPr>
                <w:i w:val="1"/>
                <w:iCs w:val="1"/>
              </w:rPr>
              <w:t xml:space="preserve">La transgression en temps de guerre</w:t>
            </w:r>
            <w:r>
              <w:rPr/>
              <w:t xml:space="preserve">, Presses Universitaires de Rennes, pp.97-123, 2021, Enquêtes et documents, 978-2-7535-8160-9</w:t>
            </w:r>
          </w:p>
          <w:p>
            <w:pPr/>
            <w:r>
              <w:rPr/>
              <w:t xml:space="preserve">Chapitre d'ouvrage</w:t>
            </w:r>
          </w:p>
          <w:p>
            <w:pPr/>
            <w:hyperlink r:id="rId16" w:history="1">
              <w:r>
                <w:rPr>
                  <w:color w:val="#410a8c"/>
                  <w:u w:val="single"/>
                </w:rPr>
                <w:t xml:space="preserve">hal-03325305v1</w:t>
              </w:r>
            </w:hyperlink>
          </w:p>
        </w:tc>
      </w:tr>
      <w:tr>
        <w:trPr/>
        <w:tc>
          <w:tcPr>
            <w:noWrap/>
          </w:tcPr>
          <w:p>
            <w:pPr>
              <w:spacing w:after="200"/>
            </w:pPr>
            <w:hyperlink r:id="rId17" w:history="1">
              <w:r>
                <w:rPr>
                  <w:color w:val="1e198e"/>
                  <w:b w:val="1"/>
                  <w:bCs w:val="1"/>
                  <w:u w:val="single"/>
                </w:rPr>
                <w:t xml:space="preserve">Inimicus et/ou hostis : réflexions sur le ‘eux ou nous’ dans la guerre romaine</w:t>
              </w:r>
            </w:hyperlink>
          </w:p>
          <w:p>
            <w:pPr/>
            <w:hyperlink r:id="rId13" w:history="1">
              <w:r>
                <w:rPr>
                  <w:color w:val="#410a8c"/>
                  <w:u w:val="single"/>
                </w:rPr>
                <w:t xml:space="preserve">Nathalie Barrandon</w:t>
              </w:r>
            </w:hyperlink>
          </w:p>
          <w:p>
            <w:pPr/>
            <w:r>
              <w:rPr/>
              <w:t xml:space="preserve">F. Pina Polo, F. Marco Simón et J. Remesal Rodríguez. </w:t>
            </w:r>
            <w:r>
              <w:rPr>
                <w:i w:val="1"/>
                <w:iCs w:val="1"/>
              </w:rPr>
              <w:t xml:space="preserve">Enemistad y odio en el mundo antiguo</w:t>
            </w:r>
            <w:r>
              <w:rPr/>
              <w:t xml:space="preserve">, 74, pp.83-93, 2021, Instrumenta, 978-84-9168-712-2</w:t>
            </w:r>
          </w:p>
          <w:p>
            <w:pPr/>
            <w:r>
              <w:rPr/>
              <w:t xml:space="preserve">Chapitre d'ouvrage</w:t>
            </w:r>
          </w:p>
          <w:p>
            <w:pPr/>
            <w:hyperlink r:id="rId17" w:history="1">
              <w:r>
                <w:rPr>
                  <w:color w:val="#410a8c"/>
                  <w:u w:val="single"/>
                </w:rPr>
                <w:t xml:space="preserve">hal-03325286v1</w:t>
              </w:r>
            </w:hyperlink>
          </w:p>
        </w:tc>
      </w:tr>
      <w:tr>
        <w:trPr/>
        <w:tc>
          <w:tcPr>
            <w:noWrap/>
          </w:tcPr>
          <w:p>
            <w:pPr>
              <w:spacing w:after="200"/>
            </w:pPr>
            <w:hyperlink r:id="rId18" w:history="1">
              <w:r>
                <w:rPr>
                  <w:color w:val="1e198e"/>
                  <w:b w:val="1"/>
                  <w:bCs w:val="1"/>
                  <w:u w:val="single"/>
                </w:rPr>
                <w:t xml:space="preserve">Ventre et violences de guerre dans la Pharsale de Lucain</w:t>
              </w:r>
            </w:hyperlink>
          </w:p>
          <w:p>
            <w:pPr/>
            <w:hyperlink r:id="rId13" w:history="1">
              <w:r>
                <w:rPr>
                  <w:color w:val="#410a8c"/>
                  <w:u w:val="single"/>
                </w:rPr>
                <w:t xml:space="preserve">Nathalie Barrandon</w:t>
              </w:r>
            </w:hyperlink>
            <w:r>
              <w:rPr/>
              <w:t xml:space="preserve">,</w:t>
            </w:r>
            <w:hyperlink r:id="rId19" w:history="1">
              <w:r>
                <w:rPr>
                  <w:color w:val="#410a8c"/>
                  <w:u w:val="single"/>
                </w:rPr>
                <w:t xml:space="preserve">Anne Vial-Logeay</w:t>
              </w:r>
            </w:hyperlink>
          </w:p>
          <w:p>
            <w:pPr/>
            <w:r>
              <w:rPr/>
              <w:t xml:space="preserve">E. Samama; F. Collard. </w:t>
            </w:r>
            <w:r>
              <w:rPr>
                <w:i w:val="1"/>
                <w:iCs w:val="1"/>
              </w:rPr>
              <w:t xml:space="preserve">Histoire du ventre. Entrailles, tripes et boyaux, le ventre dans tous ses états, Antiquité, Moyen Âge, Epoque Moderne. Actes du colloque international des 10-12 mars 2021, Universités de Saint-Quentin en Yvelines et Nanterre</w:t>
            </w:r>
            <w:r>
              <w:rPr/>
              <w:t xml:space="preserve">, L’Harmattan, pp.181-193, 2021, 978-2-343-24686-4</w:t>
            </w:r>
          </w:p>
          <w:p>
            <w:pPr/>
            <w:r>
              <w:rPr/>
              <w:t xml:space="preserve">Chapitre d'ouvrage</w:t>
            </w:r>
          </w:p>
          <w:p>
            <w:pPr/>
            <w:hyperlink r:id="rId18" w:history="1">
              <w:r>
                <w:rPr>
                  <w:color w:val="#410a8c"/>
                  <w:u w:val="single"/>
                </w:rPr>
                <w:t xml:space="preserve">hal-04648124v1</w:t>
              </w:r>
            </w:hyperlink>
          </w:p>
        </w:tc>
      </w:tr>
      <w:tr>
        <w:trPr/>
        <w:tc>
          <w:tcPr>
            <w:noWrap/>
          </w:tcPr>
          <w:p>
            <w:pPr>
              <w:spacing w:after="200"/>
            </w:pPr>
            <w:hyperlink r:id="rId20" w:history="1">
              <w:r>
                <w:rPr>
                  <w:color w:val="1e198e"/>
                  <w:b w:val="1"/>
                  <w:bCs w:val="1"/>
                  <w:u w:val="single"/>
                </w:rPr>
                <w:t xml:space="preserve">L’adulatio principis dans l’œuvre de Tacite et les séances du sénat sous le principat de Tibère</w:t>
              </w:r>
            </w:hyperlink>
          </w:p>
          <w:p>
            <w:pPr/>
            <w:hyperlink r:id="rId13" w:history="1">
              <w:r>
                <w:rPr>
                  <w:color w:val="#410a8c"/>
                  <w:u w:val="single"/>
                </w:rPr>
                <w:t xml:space="preserve">Nathalie Barrandon</w:t>
              </w:r>
            </w:hyperlink>
          </w:p>
          <w:p>
            <w:pPr/>
            <w:r>
              <w:rPr/>
              <w:t xml:space="preserve">Philippe Le Doze. </w:t>
            </w:r>
            <w:r>
              <w:rPr>
                <w:i w:val="1"/>
                <w:iCs w:val="1"/>
              </w:rPr>
              <w:t xml:space="preserve">Le costume de Prince. Vivre et se conduire en souverain dans la Rome antique d’Auguste à Constantin</w:t>
            </w:r>
            <w:r>
              <w:rPr/>
              <w:t xml:space="preserve">, 587, Publications de l’École française de Rome, pp.487-515, 2021, Collection de l'Ecole Française de Rome, 9782728314966. </w:t>
            </w:r>
            <w:hyperlink r:id="rId21" w:history="1">
              <w:r>
                <w:rPr>
                  <w:color w:val="#410a8c"/>
                  <w:u w:val="single"/>
                </w:rPr>
                <w:t xml:space="preserve">⟨10.4000/books.efr.19415⟩</w:t>
              </w:r>
            </w:hyperlink>
          </w:p>
          <w:p>
            <w:pPr/>
            <w:r>
              <w:rPr/>
              <w:t xml:space="preserve">Chapitre d'ouvrage</w:t>
            </w:r>
          </w:p>
          <w:p>
            <w:pPr/>
            <w:hyperlink r:id="rId20" w:history="1">
              <w:r>
                <w:rPr>
                  <w:color w:val="#410a8c"/>
                  <w:u w:val="single"/>
                </w:rPr>
                <w:t xml:space="preserve">hal-03454266v1</w:t>
              </w:r>
            </w:hyperlink>
          </w:p>
        </w:tc>
      </w:tr>
      <w:tr>
        <w:trPr/>
        <w:tc>
          <w:tcPr>
            <w:noWrap/>
          </w:tcPr>
          <w:p>
            <w:pPr>
              <w:spacing w:after="200"/>
            </w:pPr>
            <w:hyperlink r:id="rId22" w:history="1">
              <w:r>
                <w:rPr>
                  <w:color w:val="1e198e"/>
                  <w:b w:val="1"/>
                  <w:bCs w:val="1"/>
                  <w:u w:val="single"/>
                </w:rPr>
                <w:t xml:space="preserve">When magistrates left Rome for their provinces: Temporal, ritual, and institutional methods for assigning a provincia (200-167 BCE)</w:t>
              </w:r>
            </w:hyperlink>
          </w:p>
          <w:p>
            <w:pPr/>
            <w:hyperlink r:id="rId23" w:history="1">
              <w:r>
                <w:rPr>
                  <w:color w:val="#410a8c"/>
                  <w:u w:val="single"/>
                </w:rPr>
                <w:t xml:space="preserve">Frédéric Hurlet</w:t>
              </w:r>
            </w:hyperlink>
            <w:r>
              <w:rPr/>
              <w:t xml:space="preserve">,</w:t>
            </w:r>
            <w:hyperlink r:id="rId13" w:history="1">
              <w:r>
                <w:rPr>
                  <w:color w:val="#410a8c"/>
                  <w:u w:val="single"/>
                </w:rPr>
                <w:t xml:space="preserve">Nathalie Barrandon</w:t>
              </w:r>
            </w:hyperlink>
          </w:p>
          <w:p>
            <w:pPr/>
            <w:r>
              <w:rPr/>
              <w:t xml:space="preserve">A. Díaz Fernández. </w:t>
            </w:r>
            <w:r>
              <w:rPr>
                <w:i w:val="1"/>
                <w:iCs w:val="1"/>
              </w:rPr>
              <w:t xml:space="preserve">Provinces and Provincial Command in Republican Rome: From Early Times to Augustus</w:t>
            </w:r>
            <w:r>
              <w:rPr/>
              <w:t xml:space="preserve">, Brill, pp.71-87, 2021</w:t>
            </w:r>
          </w:p>
          <w:p>
            <w:pPr/>
            <w:r>
              <w:rPr/>
              <w:t xml:space="preserve">Chapitre d'ouvrage</w:t>
            </w:r>
          </w:p>
          <w:p>
            <w:pPr/>
            <w:hyperlink r:id="rId22" w:history="1">
              <w:r>
                <w:rPr>
                  <w:color w:val="#410a8c"/>
                  <w:u w:val="single"/>
                </w:rPr>
                <w:t xml:space="preserve">hal-03931401v1</w:t>
              </w:r>
            </w:hyperlink>
          </w:p>
        </w:tc>
      </w:tr>
      <w:tr>
        <w:trPr/>
        <w:tc>
          <w:tcPr>
            <w:noWrap/>
          </w:tcPr>
          <w:p>
            <w:pPr>
              <w:spacing w:after="200"/>
            </w:pPr>
            <w:hyperlink r:id="rId24" w:history="1">
              <w:r>
                <w:rPr>
                  <w:color w:val="1e198e"/>
                  <w:b w:val="1"/>
                  <w:bCs w:val="1"/>
                  <w:u w:val="single"/>
                </w:rPr>
                <w:t xml:space="preserve">À la lisière de la guerre civile : le massacre politique dans la Rome républicaine</w:t>
              </w:r>
            </w:hyperlink>
          </w:p>
          <w:p>
            <w:pPr/>
            <w:hyperlink r:id="rId13" w:history="1">
              <w:r>
                <w:rPr>
                  <w:color w:val="#410a8c"/>
                  <w:u w:val="single"/>
                </w:rPr>
                <w:t xml:space="preserve">Nathalie Barrandon</w:t>
              </w:r>
            </w:hyperlink>
          </w:p>
          <w:p>
            <w:pPr/>
            <w:r>
              <w:rPr/>
              <w:t xml:space="preserve">Olivia Carpi (dir.). </w:t>
            </w:r>
            <w:r>
              <w:rPr>
                <w:i w:val="1"/>
                <w:iCs w:val="1"/>
              </w:rPr>
              <w:t xml:space="preserve">Guerres et paix civiles de l’Antiquité à nos jours. Les sociétés face à elles-mêmes</w:t>
            </w:r>
            <w:r>
              <w:rPr/>
              <w:t xml:space="preserve">, </w:t>
            </w:r>
            <w:hyperlink r:id="rId25" w:history="1">
              <w:r>
                <w:rPr>
                  <w:color w:val="#410a8c"/>
                  <w:u w:val="single"/>
                </w:rPr>
                <w:t xml:space="preserve">Presses Universitaires du Septentrion-War Studies</w:t>
              </w:r>
            </w:hyperlink>
            <w:r>
              <w:rPr/>
              <w:t xml:space="preserve">, pp.171-186, 2018, 9782757424278. </w:t>
            </w:r>
            <w:hyperlink r:id="rId26" w:history="1">
              <w:r>
                <w:rPr>
                  <w:color w:val="#410a8c"/>
                  <w:u w:val="single"/>
                </w:rPr>
                <w:t xml:space="preserve">⟨10.4000/books.septentrion.127842⟩</w:t>
              </w:r>
            </w:hyperlink>
          </w:p>
          <w:p>
            <w:pPr/>
            <w:r>
              <w:rPr/>
              <w:t xml:space="preserve">Chapitre d'ouvrage</w:t>
            </w:r>
          </w:p>
          <w:p>
            <w:pPr/>
            <w:hyperlink r:id="rId24" w:history="1">
              <w:r>
                <w:rPr>
                  <w:color w:val="#410a8c"/>
                  <w:u w:val="single"/>
                </w:rPr>
                <w:t xml:space="preserve">hal-03060517v1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Conceptualisations contemporaines du génocide, du massacre, de la violence extrême et de la transgression dans le champ des études classiques</w:t>
              </w:r>
            </w:hyperlink>
          </w:p>
          <w:p>
            <w:pPr/>
            <w:hyperlink r:id="rId13" w:history="1">
              <w:r>
                <w:rPr>
                  <w:color w:val="#410a8c"/>
                  <w:u w:val="single"/>
                </w:rPr>
                <w:t xml:space="preserve">Nathalie Barrandon</w:t>
              </w:r>
            </w:hyperlink>
            <w:r>
              <w:rPr/>
              <w:t xml:space="preserve">,</w:t>
            </w:r>
            <w:hyperlink r:id="rId28" w:history="1">
              <w:r>
                <w:rPr>
                  <w:color w:val="#410a8c"/>
                  <w:u w:val="single"/>
                </w:rPr>
                <w:t xml:space="preserve">Jean-Baptiste Bonnard</w:t>
              </w:r>
            </w:hyperlink>
            <w:r>
              <w:rPr/>
              <w:t xml:space="preserve">,</w:t>
            </w:r>
            <w:hyperlink r:id="rId29" w:history="1">
              <w:r>
                <w:rPr>
                  <w:color w:val="#410a8c"/>
                  <w:u w:val="single"/>
                </w:rPr>
                <w:t xml:space="preserve">Isabelle Pimouguet-Pédarros</w:t>
              </w:r>
            </w:hyperlink>
          </w:p>
          <w:p>
            <w:pPr/>
            <w:r>
              <w:rPr>
                <w:i w:val="1"/>
                <w:iCs w:val="1"/>
              </w:rPr>
              <w:t xml:space="preserve">Revue d'histoire culturelle. XVIIIe-XXIe siècles</w:t>
            </w:r>
            <w:r>
              <w:rPr/>
              <w:t xml:space="preserve">, 2024, Cultures olympiques, 8, 18 p. </w:t>
            </w:r>
            <w:hyperlink r:id="rId30" w:history="1">
              <w:r>
                <w:rPr>
                  <w:color w:val="#410a8c"/>
                  <w:u w:val="single"/>
                </w:rPr>
                <w:t xml:space="preserve">⟨10.4000/11ych⟩</w:t>
              </w:r>
            </w:hyperlink>
          </w:p>
          <w:p>
            <w:pPr/>
            <w:r>
              <w:rPr/>
              <w:t xml:space="preserve">Article dans une revue</w:t>
            </w:r>
          </w:p>
          <w:p>
            <w:pPr/>
            <w:hyperlink r:id="rId27" w:history="1">
              <w:r>
                <w:rPr>
                  <w:color w:val="#410a8c"/>
                  <w:u w:val="single"/>
                </w:rPr>
                <w:t xml:space="preserve">hal-04997618v1</w:t>
              </w:r>
            </w:hyperlink>
          </w:p>
        </w:tc>
      </w:tr>
      <w:tr>
        <w:trPr/>
        <w:tc>
          <w:tcPr>
            <w:noWrap/>
          </w:tcPr>
          <w:p>
            <w:pPr>
              <w:spacing w:after="200"/>
            </w:pPr>
            <w:hyperlink r:id="rId31" w:history="1">
              <w:r>
                <w:rPr>
                  <w:color w:val="1e198e"/>
                  <w:b w:val="1"/>
                  <w:bCs w:val="1"/>
                  <w:u w:val="single"/>
                </w:rPr>
                <w:t xml:space="preserve">Du champ de bataille au champ de Mars : les sorties de guerre des généraux romains aux deux derniers siècles de la République</w:t>
              </w:r>
            </w:hyperlink>
          </w:p>
          <w:p>
            <w:pPr/>
            <w:hyperlink r:id="rId13" w:history="1">
              <w:r>
                <w:rPr>
                  <w:color w:val="#410a8c"/>
                  <w:u w:val="single"/>
                </w:rPr>
                <w:t xml:space="preserve">Nathalie Barrandon</w:t>
              </w:r>
            </w:hyperlink>
          </w:p>
          <w:p>
            <w:pPr/>
            <w:r>
              <w:rPr>
                <w:i w:val="1"/>
                <w:iCs w:val="1"/>
              </w:rPr>
              <w:t xml:space="preserve">Revue historique</w:t>
            </w:r>
            <w:r>
              <w:rPr/>
              <w:t xml:space="preserve">, 2021, 699, pp.749-763. </w:t>
            </w:r>
            <w:hyperlink r:id="rId32" w:history="1">
              <w:r>
                <w:rPr>
                  <w:color w:val="#410a8c"/>
                  <w:u w:val="single"/>
                </w:rPr>
                <w:t xml:space="preserve">⟨10.3917/rhis.213.0749⟩</w:t>
              </w:r>
            </w:hyperlink>
          </w:p>
          <w:p>
            <w:pPr/>
            <w:r>
              <w:rPr/>
              <w:t xml:space="preserve">Article dans une revue</w:t>
            </w:r>
          </w:p>
          <w:p>
            <w:pPr/>
            <w:hyperlink r:id="rId31" w:history="1">
              <w:r>
                <w:rPr>
                  <w:color w:val="#410a8c"/>
                  <w:u w:val="single"/>
                </w:rPr>
                <w:t xml:space="preserve">hal-03454251v1</w:t>
              </w:r>
            </w:hyperlink>
          </w:p>
        </w:tc>
      </w:tr>
      <w:tr>
        <w:trPr/>
        <w:tc>
          <w:tcPr>
            <w:noWrap/>
          </w:tcPr>
          <w:p>
            <w:pPr>
              <w:spacing w:after="200"/>
            </w:pPr>
            <w:hyperlink r:id="rId33" w:history="1">
              <w:r>
                <w:rPr>
                  <w:color w:val="1e198e"/>
                  <w:b w:val="1"/>
                  <w:bCs w:val="1"/>
                  <w:u w:val="single"/>
                </w:rPr>
                <w:t xml:space="preserve">Les massacres de la République romaine : De l’exemplum à l’objet d’histoire (XVIe – XXIe siècles)</w:t>
              </w:r>
            </w:hyperlink>
          </w:p>
          <w:p>
            <w:pPr/>
            <w:hyperlink r:id="rId13" w:history="1">
              <w:r>
                <w:rPr>
                  <w:color w:val="#410a8c"/>
                  <w:u w:val="single"/>
                </w:rPr>
                <w:t xml:space="preserve">Nathalie Barrandon</w:t>
              </w:r>
            </w:hyperlink>
          </w:p>
          <w:p>
            <w:pPr/>
            <w:r>
              <w:rPr>
                <w:i w:val="1"/>
                <w:iCs w:val="1"/>
              </w:rPr>
              <w:t xml:space="preserve">Anabases - Traditions et réceptions de l’Antiquité</w:t>
            </w:r>
            <w:r>
              <w:rPr/>
              <w:t xml:space="preserve">, 2018, 28, pp.13-45. </w:t>
            </w:r>
            <w:hyperlink r:id="rId34" w:history="1">
              <w:r>
                <w:rPr>
                  <w:color w:val="#410a8c"/>
                  <w:u w:val="single"/>
                </w:rPr>
                <w:t xml:space="preserve">⟨10.4000/anabases.7463⟩</w:t>
              </w:r>
            </w:hyperlink>
          </w:p>
          <w:p>
            <w:pPr/>
            <w:r>
              <w:rPr/>
              <w:t xml:space="preserve">Article dans une revue</w:t>
            </w:r>
          </w:p>
          <w:p>
            <w:pPr/>
            <w:hyperlink r:id="rId33" w:history="1">
              <w:r>
                <w:rPr>
                  <w:color w:val="#410a8c"/>
                  <w:u w:val="single"/>
                </w:rPr>
                <w:t xml:space="preserve">hal-03060525v1</w:t>
              </w:r>
            </w:hyperlink>
          </w:p>
        </w:tc>
      </w:tr>
      <w:tr>
        <w:trPr/>
        <w:tc>
          <w:tcPr>
            <w:noWrap/>
          </w:tcPr>
          <w:p>
            <w:pPr>
              <w:spacing w:after="200"/>
            </w:pPr>
            <w:hyperlink r:id="rId35" w:history="1">
              <w:r>
                <w:rPr>
                  <w:color w:val="1e198e"/>
                  <w:b w:val="1"/>
                  <w:bCs w:val="1"/>
                  <w:u w:val="single"/>
                </w:rPr>
                <w:t xml:space="preserve">Le sort des migrants conduits par les Helvètes au début de la guerre des Gaules (année 58 av. J.-C.)</w:t>
              </w:r>
            </w:hyperlink>
          </w:p>
          <w:p>
            <w:pPr/>
            <w:hyperlink r:id="rId13" w:history="1">
              <w:r>
                <w:rPr>
                  <w:color w:val="#410a8c"/>
                  <w:u w:val="single"/>
                </w:rPr>
                <w:t xml:space="preserve">Nathalie Barrandon</w:t>
              </w:r>
            </w:hyperlink>
          </w:p>
          <w:p>
            <w:pPr/>
            <w:r>
              <w:rPr>
                <w:i w:val="1"/>
                <w:iCs w:val="1"/>
              </w:rPr>
              <w:t xml:space="preserve">HiMA : revue internationale d'histoire militaire ancienne</w:t>
            </w:r>
            <w:r>
              <w:rPr/>
              <w:t xml:space="preserve">, 2018, 7, pp.33-46</w:t>
            </w:r>
          </w:p>
          <w:p>
            <w:pPr/>
            <w:r>
              <w:rPr/>
              <w:t xml:space="preserve">Article dans une revue</w:t>
            </w:r>
          </w:p>
          <w:p>
            <w:pPr/>
            <w:hyperlink r:id="rId35" w:history="1">
              <w:r>
                <w:rPr>
                  <w:color w:val="#410a8c"/>
                  <w:u w:val="single"/>
                </w:rPr>
                <w:t xml:space="preserve">hal-03013062v1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 La transgression en temps de guerre : présentation du sujet et ouverture thématique »</w:t>
              </w:r>
            </w:hyperlink>
          </w:p>
          <w:p>
            <w:pPr/>
            <w:hyperlink r:id="rId29" w:history="1">
              <w:r>
                <w:rPr>
                  <w:color w:val="#410a8c"/>
                  <w:u w:val="single"/>
                </w:rPr>
                <w:t xml:space="preserve">Isabelle Pimouguet-Pédarros</w:t>
              </w:r>
            </w:hyperlink>
            <w:r>
              <w:rPr/>
              <w:t xml:space="preserve">,</w:t>
            </w:r>
            <w:hyperlink r:id="rId13" w:history="1">
              <w:r>
                <w:rPr>
                  <w:color w:val="#410a8c"/>
                  <w:u w:val="single"/>
                </w:rPr>
                <w:t xml:space="preserve">Nathalie Barrandon</w:t>
              </w:r>
            </w:hyperlink>
          </w:p>
          <w:p>
            <w:pPr/>
            <w:r>
              <w:rPr/>
              <w:t xml:space="preserve">pp.17-30., 2021, La transgression en temps de guerre de l4Antiquité à nos jours</w:t>
            </w:r>
          </w:p>
          <w:p>
            <w:pPr/>
            <w:r>
              <w:rPr/>
              <w:t xml:space="preserve">Proceedings/Recueil des communications</w:t>
            </w:r>
          </w:p>
          <w:p>
            <w:pPr/>
            <w:hyperlink r:id="rId36" w:history="1">
              <w:r>
                <w:rPr>
                  <w:color w:val="#410a8c"/>
                  <w:u w:val="single"/>
                </w:rPr>
                <w:t xml:space="preserve">hal-04268109v1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La transgression en temps de guerre. De l’Antiquité à nos jours</w:t>
              </w:r>
            </w:hyperlink>
          </w:p>
          <w:p>
            <w:pPr/>
            <w:hyperlink r:id="rId29" w:history="1">
              <w:r>
                <w:rPr>
                  <w:color w:val="#410a8c"/>
                  <w:u w:val="single"/>
                </w:rPr>
                <w:t xml:space="preserve">Isabelle Pimouguet-Pédarros</w:t>
              </w:r>
            </w:hyperlink>
            <w:r>
              <w:rPr/>
              <w:t xml:space="preserve">,</w:t>
            </w:r>
            <w:hyperlink r:id="rId13" w:history="1">
              <w:r>
                <w:rPr>
                  <w:color w:val="#410a8c"/>
                  <w:u w:val="single"/>
                </w:rPr>
                <w:t xml:space="preserve">Nathalie Barrandon</w:t>
              </w:r>
            </w:hyperlink>
          </w:p>
          <w:p>
            <w:pPr/>
            <w:r>
              <w:rPr/>
              <w:t xml:space="preserve">2021</w:t>
            </w:r>
          </w:p>
          <w:p>
            <w:pPr/>
            <w:r>
              <w:rPr/>
              <w:t xml:space="preserve">Ouvrages</w:t>
            </w:r>
          </w:p>
          <w:p>
            <w:pPr/>
            <w:hyperlink r:id="rId37" w:history="1">
              <w:r>
                <w:rPr>
                  <w:color w:val="#410a8c"/>
                  <w:u w:val="single"/>
                </w:rPr>
                <w:t xml:space="preserve">hal-03233250v1</w:t>
              </w:r>
            </w:hyperlink>
          </w:p>
        </w:tc>
      </w:tr>
      <w:tr>
        <w:trPr/>
        <w:tc>
          <w:tcPr>
            <w:noWrap/>
          </w:tcPr>
          <w:p>
            <w:pPr>
              <w:spacing w:after="200"/>
            </w:pPr>
            <w:hyperlink r:id="rId38" w:history="1">
              <w:r>
                <w:rPr>
                  <w:color w:val="1e198e"/>
                  <w:b w:val="1"/>
                  <w:bCs w:val="1"/>
                  <w:u w:val="single"/>
                </w:rPr>
                <w:t xml:space="preserve">Les massacres de la République romaine</w:t>
              </w:r>
            </w:hyperlink>
          </w:p>
          <w:p>
            <w:pPr/>
            <w:hyperlink r:id="rId13" w:history="1">
              <w:r>
                <w:rPr>
                  <w:color w:val="#410a8c"/>
                  <w:u w:val="single"/>
                </w:rPr>
                <w:t xml:space="preserve">Nathalie Barrandon</w:t>
              </w:r>
            </w:hyperlink>
          </w:p>
          <w:p>
            <w:pPr/>
            <w:r>
              <w:rPr/>
              <w:t xml:space="preserve">Fayard, 2018, 978-2-213-67131-4</w:t>
            </w:r>
          </w:p>
          <w:p>
            <w:pPr/>
            <w:r>
              <w:rPr/>
              <w:t xml:space="preserve">Ouvrages</w:t>
            </w:r>
          </w:p>
          <w:p>
            <w:pPr/>
            <w:hyperlink r:id="rId38" w:history="1">
              <w:r>
                <w:rPr>
                  <w:color w:val="#410a8c"/>
                  <w:u w:val="single"/>
                </w:rPr>
                <w:t xml:space="preserve">hal-04743219v1</w:t>
              </w:r>
            </w:hyperlink>
          </w:p>
        </w:tc>
      </w:tr>
      <w:tr>
        <w:trPr/>
        <w:tc>
          <w:tcPr>
            <w:noWrap/>
          </w:tcPr>
          <w:p>
            <w:pPr>
              <w:spacing w:after="200"/>
            </w:pPr>
            <w:hyperlink r:id="rId39" w:history="1">
              <w:r>
                <w:rPr>
                  <w:color w:val="1e198e"/>
                  <w:b w:val="1"/>
                  <w:bCs w:val="1"/>
                  <w:u w:val="single"/>
                </w:rPr>
                <w:t xml:space="preserve">De la pacification à l’intégration des Hispaniques (133-27 a.C.)</w:t>
              </w:r>
            </w:hyperlink>
          </w:p>
          <w:p>
            <w:pPr/>
            <w:hyperlink r:id="rId13" w:history="1">
              <w:r>
                <w:rPr>
                  <w:color w:val="#410a8c"/>
                  <w:u w:val="single"/>
                </w:rPr>
                <w:t xml:space="preserve">Nathalie Barrandon</w:t>
              </w:r>
            </w:hyperlink>
          </w:p>
          <w:p>
            <w:pPr/>
            <w:r>
              <w:rPr/>
              <w:t xml:space="preserve">Ausonius. 2011, Scripta antiqua</w:t>
            </w:r>
          </w:p>
          <w:p>
            <w:pPr/>
            <w:r>
              <w:rPr/>
              <w:t xml:space="preserve">Ouvrages</w:t>
            </w:r>
          </w:p>
          <w:p>
            <w:pPr/>
            <w:hyperlink r:id="rId39" w:history="1">
              <w:r>
                <w:rPr>
                  <w:color w:val="#410a8c"/>
                  <w:u w:val="single"/>
                </w:rPr>
                <w:t xml:space="preserve">hal-04743251v1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4A9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725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9A5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B85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barrandon" TargetMode="External"/><Relationship Id="rId8" Type="http://schemas.openxmlformats.org/officeDocument/2006/relationships/hyperlink" Target="https://orcid.org/0000-0002-5830-5400" TargetMode="External"/><Relationship Id="rId9" Type="http://schemas.openxmlformats.org/officeDocument/2006/relationships/hyperlink" Target="https://www.idref.fr/098813471" TargetMode="External"/><Relationship Id="rId10" Type="http://schemas.openxmlformats.org/officeDocument/2006/relationships/hyperlink" Target="https://viaf.org/viaf/107631904" TargetMode="External"/><Relationship Id="rId11" Type="http://schemas.openxmlformats.org/officeDocument/2006/relationships/hyperlink" Target="http://isni.org/isni/0000000078548368" TargetMode="External"/><Relationship Id="rId12" Type="http://schemas.openxmlformats.org/officeDocument/2006/relationships/hyperlink" Target="https://hal.science/hal-04648117v1" TargetMode="External"/><Relationship Id="rId13" Type="http://schemas.openxmlformats.org/officeDocument/2006/relationships/hyperlink" Target="https://hal.science/search/index/?q=*&amp;authFullName_s=Nathalie Barrandon" TargetMode="External"/><Relationship Id="rId14" Type="http://schemas.openxmlformats.org/officeDocument/2006/relationships/hyperlink" Target="https://hal.science/search/index/?q=*&amp;authFullName_s=Enrique Garc&#237;a Riaza" TargetMode="External"/><Relationship Id="rId15" Type="http://schemas.openxmlformats.org/officeDocument/2006/relationships/hyperlink" Target="https://hal.science/search/index/?q=*&amp;authFullName_s=Anthony-Marc Sanz" TargetMode="External"/><Relationship Id="rId16" Type="http://schemas.openxmlformats.org/officeDocument/2006/relationships/hyperlink" Target="https://hal.science/hal-03325305v1" TargetMode="External"/><Relationship Id="rId17" Type="http://schemas.openxmlformats.org/officeDocument/2006/relationships/hyperlink" Target="https://hal.science/hal-03325286v1" TargetMode="External"/><Relationship Id="rId18" Type="http://schemas.openxmlformats.org/officeDocument/2006/relationships/hyperlink" Target="https://hal.science/hal-04648124v1" TargetMode="External"/><Relationship Id="rId19" Type="http://schemas.openxmlformats.org/officeDocument/2006/relationships/hyperlink" Target="https://hal.science/search/index/?q=*&amp;authFullName_s=Anne Vial-Logeay" TargetMode="External"/><Relationship Id="rId20" Type="http://schemas.openxmlformats.org/officeDocument/2006/relationships/hyperlink" Target="https://hal.science/hal-03454266v1" TargetMode="External"/><Relationship Id="rId21" Type="http://schemas.openxmlformats.org/officeDocument/2006/relationships/hyperlink" Target="https://dx.doi.org/10.4000/books.efr.19415" TargetMode="External"/><Relationship Id="rId22" Type="http://schemas.openxmlformats.org/officeDocument/2006/relationships/hyperlink" Target="https://hal.science/hal-03931401v1" TargetMode="External"/><Relationship Id="rId23" Type="http://schemas.openxmlformats.org/officeDocument/2006/relationships/hyperlink" Target="https://hal.science/search/index/?q=*&amp;authFullName_s=Fr&#233;d&#233;ric Hurlet" TargetMode="External"/><Relationship Id="rId24" Type="http://schemas.openxmlformats.org/officeDocument/2006/relationships/hyperlink" Target="https://univ-reims.hal.science/hal-03060517v1" TargetMode="External"/><Relationship Id="rId25" Type="http://schemas.openxmlformats.org/officeDocument/2006/relationships/hyperlink" Target="http://books.openedition.org/septentrion/127842" TargetMode="External"/><Relationship Id="rId26" Type="http://schemas.openxmlformats.org/officeDocument/2006/relationships/hyperlink" Target="https://dx.doi.org/10.4000/books.septentrion.127842" TargetMode="External"/><Relationship Id="rId27" Type="http://schemas.openxmlformats.org/officeDocument/2006/relationships/hyperlink" Target="https://hal.science/hal-04997618v1" TargetMode="External"/><Relationship Id="rId28" Type="http://schemas.openxmlformats.org/officeDocument/2006/relationships/hyperlink" Target="https://hal.science/search/index/?q=*&amp;authFullName_s=Jean-Baptiste Bonnard" TargetMode="External"/><Relationship Id="rId29" Type="http://schemas.openxmlformats.org/officeDocument/2006/relationships/hyperlink" Target="https://hal.science/search/index/?q=*&amp;authFullName_s=Isabelle Pimouguet-P&#233;darros" TargetMode="External"/><Relationship Id="rId30" Type="http://schemas.openxmlformats.org/officeDocument/2006/relationships/hyperlink" Target="https://dx.doi.org/10.4000/11ych" TargetMode="External"/><Relationship Id="rId31" Type="http://schemas.openxmlformats.org/officeDocument/2006/relationships/hyperlink" Target="https://hal.science/hal-03454251v1" TargetMode="External"/><Relationship Id="rId32" Type="http://schemas.openxmlformats.org/officeDocument/2006/relationships/hyperlink" Target="https://dx.doi.org/10.3917/rhis.213.0749" TargetMode="External"/><Relationship Id="rId33" Type="http://schemas.openxmlformats.org/officeDocument/2006/relationships/hyperlink" Target="https://univ-reims.hal.science/hal-03060525v1" TargetMode="External"/><Relationship Id="rId34" Type="http://schemas.openxmlformats.org/officeDocument/2006/relationships/hyperlink" Target="https://dx.doi.org/10.4000/anabases.7463" TargetMode="External"/><Relationship Id="rId35" Type="http://schemas.openxmlformats.org/officeDocument/2006/relationships/hyperlink" Target="https://hal.science/hal-03013062v1" TargetMode="External"/><Relationship Id="rId36" Type="http://schemas.openxmlformats.org/officeDocument/2006/relationships/hyperlink" Target="https://hal.science/hal-04268109v1" TargetMode="External"/><Relationship Id="rId37" Type="http://schemas.openxmlformats.org/officeDocument/2006/relationships/hyperlink" Target="https://hal.science/hal-03233250v1" TargetMode="External"/><Relationship Id="rId38" Type="http://schemas.openxmlformats.org/officeDocument/2006/relationships/hyperlink" Target="https://hal.science/hal-04743219v1" TargetMode="External"/><Relationship Id="rId39" Type="http://schemas.openxmlformats.org/officeDocument/2006/relationships/hyperlink" Target="https://hal.science/hal-04743251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Barrandon</dc:title>
  <dc:description>CV</dc:description>
  <dc:subject/>
  <cp:keywords/>
  <cp:category/>
  <cp:lastModifiedBy/>
  <dcterms:created xsi:type="dcterms:W3CDTF">2026-03-16T14:42:21+01:00</dcterms:created>
  <dcterms:modified xsi:type="dcterms:W3CDTF">2026-03-16T14:42:21+01:00</dcterms:modified>
</cp:coreProperties>
</file>

<file path=docProps/custom.xml><?xml version="1.0" encoding="utf-8"?>
<Properties xmlns="http://schemas.openxmlformats.org/officeDocument/2006/custom-properties" xmlns:vt="http://schemas.openxmlformats.org/officeDocument/2006/docPropsVTypes"/>
</file>