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mathey </w:t>
      </w:r>
      <w:r>
        <w:rPr>
          <w:color w:val="641e6e"/>
        </w:rPr>
        <w:t xml:space="preserve">Professeur à l'Université Paris CitéMembre du CEDAG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nicolas-mathey</w:t>
        </w:r>
      </w:hyperlink>
    </w:p>
    <w:p>
      <w:pPr>
        <w:numPr>
          <w:ilvl w:val="0"/>
          <w:numId w:val="1"/>
        </w:numPr>
      </w:pPr>
      <w:r>
        <w:rPr/>
        <w:t xml:space="preserve"> ORCID : </w:t>
      </w:r>
      <w:hyperlink r:id="rId8" w:history="1">
        <w:r>
          <w:rPr>
            <w:color w:val="#410a8c"/>
            <w:u w:val="single"/>
          </w:rPr>
          <w:t xml:space="preserve">0000-0003-3376-2725</w:t>
        </w:r>
      </w:hyperlink>
    </w:p>
    <w:p>
      <w:pPr>
        <w:spacing w:before="600"/>
      </w:pPr>
    </w:p>
    <w:p>
      <w:pPr>
        <w:pStyle w:val="Heading2"/>
      </w:pPr>
      <w:r>
        <w:rPr>
          <w:color w:val="1e198e"/>
          <w:b w:val="1"/>
          <w:bCs w:val="1"/>
        </w:rPr>
        <w:t xml:space="preserve">Présentation</w:t>
      </w:r>
    </w:p>
    <w:p>
      <w:pPr>
        <w:spacing w:after="100"/>
      </w:pPr>
    </w:p>
    <w:p>
      <w:pPr/>
      <w:r>
        <w:rPr/>
        <w:t xml:space="preserve">Une grande partie de mon enseignement porte sur le droit des affaires et notamment sur le droit bancaire et le droit de la concurrence et de la distribution. J’enseigne également la théorie du droit et assure un cours d’ouverture en licence intitulé Droit et littérature (24h).Mon activité de recherche porte principalement sur le droit bancaire dans ses principaux aspects théoriques et pratiques ainsi que sur le droit de la distribution (contrats et pratiques restrictives de concurrence). J’accorde une attention particulière aux faits et à la pratique avec un souci de réflexion théorique et méthodologique. Mes travaux récents s’ouvrent aussi sur des questions situées au croisement avec d’autres disciplines (Droit et religion, droit et littérature).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solidarisme commercial : négociation collective et risque en matière de négociation commerciale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2023, Repère 3</w:t>
            </w:r>
          </w:p>
          <w:p>
            <w:pPr/>
            <w:r>
              <w:rPr/>
              <w:t xml:space="preserve">Article dans une revue</w:t>
            </w:r>
          </w:p>
          <w:p>
            <w:pPr/>
            <w:hyperlink r:id="rId9" w:history="1">
              <w:r>
                <w:rPr>
                  <w:color w:val="#410a8c"/>
                  <w:u w:val="single"/>
                </w:rPr>
                <w:t xml:space="preserve">halshs-04139911v1</w:t>
              </w:r>
            </w:hyperlink>
          </w:p>
        </w:tc>
      </w:tr>
      <w:tr>
        <w:trPr/>
        <w:tc>
          <w:tcPr>
            <w:noWrap/>
          </w:tcPr>
          <w:p>
            <w:pPr>
              <w:spacing w:after="200"/>
            </w:pPr>
            <w:hyperlink r:id="rId11" w:history="1">
              <w:r>
                <w:rPr>
                  <w:color w:val="1e198e"/>
                  <w:b w:val="1"/>
                  <w:bCs w:val="1"/>
                  <w:u w:val="single"/>
                </w:rPr>
                <w:t xml:space="preserve">Les nouveaux Léviathan</w:t>
              </w:r>
            </w:hyperlink>
          </w:p>
          <w:p>
            <w:pPr/>
            <w:hyperlink r:id="rId10" w:history="1">
              <w:r>
                <w:rPr>
                  <w:color w:val="#410a8c"/>
                  <w:u w:val="single"/>
                </w:rPr>
                <w:t xml:space="preserve">Nicolas Mathey</w:t>
              </w:r>
            </w:hyperlink>
          </w:p>
          <w:p>
            <w:pPr/>
            <w:r>
              <w:rPr>
                <w:i w:val="1"/>
                <w:iCs w:val="1"/>
              </w:rPr>
              <w:t xml:space="preserve">Otrante : art et littérature fantastiques</w:t>
            </w:r>
            <w:r>
              <w:rPr/>
              <w:t xml:space="preserve">, 2023</w:t>
            </w:r>
          </w:p>
          <w:p>
            <w:pPr/>
            <w:r>
              <w:rPr/>
              <w:t xml:space="preserve">Article dans une revue</w:t>
            </w:r>
          </w:p>
          <w:p>
            <w:pPr/>
            <w:hyperlink r:id="rId11" w:history="1">
              <w:r>
                <w:rPr>
                  <w:color w:val="#410a8c"/>
                  <w:u w:val="single"/>
                </w:rPr>
                <w:t xml:space="preserve">halshs-04139813v1</w:t>
              </w:r>
            </w:hyperlink>
          </w:p>
        </w:tc>
      </w:tr>
      <w:tr>
        <w:trPr/>
        <w:tc>
          <w:tcPr>
            <w:noWrap/>
          </w:tcPr>
          <w:p>
            <w:pPr>
              <w:spacing w:after="200"/>
            </w:pPr>
            <w:hyperlink r:id="rId12" w:history="1">
              <w:r>
                <w:rPr>
                  <w:color w:val="1e198e"/>
                  <w:b w:val="1"/>
                  <w:bCs w:val="1"/>
                  <w:u w:val="single"/>
                </w:rPr>
                <w:t xml:space="preserve">Responsabilité du mandant en raison du dol de son mandataire</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2022, pp.154</w:t>
            </w:r>
          </w:p>
          <w:p>
            <w:pPr/>
            <w:r>
              <w:rPr/>
              <w:t xml:space="preserve">Article dans une revue</w:t>
            </w:r>
          </w:p>
          <w:p>
            <w:pPr/>
            <w:hyperlink r:id="rId12" w:history="1">
              <w:r>
                <w:rPr>
                  <w:color w:val="#410a8c"/>
                  <w:u w:val="single"/>
                </w:rPr>
                <w:t xml:space="preserve">halshs-04139905v1</w:t>
              </w:r>
            </w:hyperlink>
          </w:p>
        </w:tc>
      </w:tr>
      <w:tr>
        <w:trPr/>
        <w:tc>
          <w:tcPr>
            <w:noWrap/>
          </w:tcPr>
          <w:p>
            <w:pPr>
              <w:spacing w:after="200"/>
            </w:pPr>
            <w:hyperlink r:id="rId13" w:history="1">
              <w:r>
                <w:rPr>
                  <w:color w:val="1e198e"/>
                  <w:b w:val="1"/>
                  <w:bCs w:val="1"/>
                  <w:u w:val="single"/>
                </w:rPr>
                <w:t xml:space="preserve">Pouvoir d'achat contre-pouvoir de marché</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2022, Repère 3</w:t>
            </w:r>
          </w:p>
          <w:p>
            <w:pPr/>
            <w:r>
              <w:rPr/>
              <w:t xml:space="preserve">Article dans une revue</w:t>
            </w:r>
          </w:p>
          <w:p>
            <w:pPr/>
            <w:hyperlink r:id="rId13" w:history="1">
              <w:r>
                <w:rPr>
                  <w:color w:val="#410a8c"/>
                  <w:u w:val="single"/>
                </w:rPr>
                <w:t xml:space="preserve">halshs-04139913v1</w:t>
              </w:r>
            </w:hyperlink>
          </w:p>
        </w:tc>
      </w:tr>
      <w:tr>
        <w:trPr/>
        <w:tc>
          <w:tcPr>
            <w:noWrap/>
          </w:tcPr>
          <w:p>
            <w:pPr>
              <w:spacing w:after="200"/>
            </w:pPr>
            <w:hyperlink r:id="rId14" w:history="1">
              <w:r>
                <w:rPr>
                  <w:color w:val="1e198e"/>
                  <w:b w:val="1"/>
                  <w:bCs w:val="1"/>
                  <w:u w:val="single"/>
                </w:rPr>
                <w:t xml:space="preserve">Responsabilité du mandant à raison du dol de son mandataire</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2022, 03, pp.154</w:t>
            </w:r>
          </w:p>
          <w:p>
            <w:pPr/>
            <w:r>
              <w:rPr/>
              <w:t xml:space="preserve">Article dans une revue</w:t>
            </w:r>
          </w:p>
          <w:p>
            <w:pPr/>
            <w:hyperlink r:id="rId14" w:history="1">
              <w:r>
                <w:rPr>
                  <w:color w:val="#410a8c"/>
                  <w:u w:val="single"/>
                </w:rPr>
                <w:t xml:space="preserve">halshs-03590162v1</w:t>
              </w:r>
            </w:hyperlink>
          </w:p>
        </w:tc>
      </w:tr>
      <w:tr>
        <w:trPr/>
        <w:tc>
          <w:tcPr>
            <w:noWrap/>
          </w:tcPr>
          <w:p>
            <w:pPr>
              <w:spacing w:after="200"/>
            </w:pPr>
            <w:hyperlink r:id="rId15" w:history="1">
              <w:r>
                <w:rPr>
                  <w:color w:val="1e198e"/>
                  <w:b w:val="1"/>
                  <w:bCs w:val="1"/>
                  <w:u w:val="single"/>
                </w:rPr>
                <w:t xml:space="preserve">Chronique de droit privé</w:t>
              </w:r>
            </w:hyperlink>
          </w:p>
          <w:p>
            <w:pPr/>
            <w:hyperlink r:id="rId10" w:history="1">
              <w:r>
                <w:rPr>
                  <w:color w:val="#410a8c"/>
                  <w:u w:val="single"/>
                </w:rPr>
                <w:t xml:space="preserve">Nicolas Mathey</w:t>
              </w:r>
            </w:hyperlink>
          </w:p>
          <w:p>
            <w:pPr/>
            <w:r>
              <w:rPr>
                <w:i w:val="1"/>
                <w:iCs w:val="1"/>
              </w:rPr>
              <w:t xml:space="preserve">Société, droit et religion</w:t>
            </w:r>
            <w:r>
              <w:rPr/>
              <w:t xml:space="preserve">, 2022, Numéro 10 (1), pp.267-294. </w:t>
            </w:r>
            <w:hyperlink r:id="rId16" w:history="1">
              <w:r>
                <w:rPr>
                  <w:color w:val="#410a8c"/>
                  <w:u w:val="single"/>
                </w:rPr>
                <w:t xml:space="preserve">⟨10.3917/sdr.010.0267⟩</w:t>
              </w:r>
            </w:hyperlink>
          </w:p>
          <w:p>
            <w:pPr/>
            <w:r>
              <w:rPr/>
              <w:t xml:space="preserve">Article dans une revue</w:t>
            </w:r>
          </w:p>
          <w:p>
            <w:pPr/>
            <w:hyperlink r:id="rId15" w:history="1">
              <w:r>
                <w:rPr>
                  <w:color w:val="#410a8c"/>
                  <w:u w:val="single"/>
                </w:rPr>
                <w:t xml:space="preserve">hal-03950319v1</w:t>
              </w:r>
            </w:hyperlink>
          </w:p>
        </w:tc>
      </w:tr>
      <w:tr>
        <w:trPr/>
        <w:tc>
          <w:tcPr>
            <w:noWrap/>
          </w:tcPr>
          <w:p>
            <w:pPr>
              <w:spacing w:after="200"/>
            </w:pPr>
            <w:hyperlink r:id="rId17" w:history="1">
              <w:r>
                <w:rPr>
                  <w:color w:val="1e198e"/>
                  <w:b w:val="1"/>
                  <w:bCs w:val="1"/>
                  <w:u w:val="single"/>
                </w:rPr>
                <w:t xml:space="preserve">La concurrence à l'épreuve de l'économie numérique dans le nouveau règlement d'exemption relatif aux restrictions verticales</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2022, Repère 8</w:t>
            </w:r>
          </w:p>
          <w:p>
            <w:pPr/>
            <w:r>
              <w:rPr/>
              <w:t xml:space="preserve">Article dans une revue</w:t>
            </w:r>
          </w:p>
          <w:p>
            <w:pPr/>
            <w:hyperlink r:id="rId17" w:history="1">
              <w:r>
                <w:rPr>
                  <w:color w:val="#410a8c"/>
                  <w:u w:val="single"/>
                </w:rPr>
                <w:t xml:space="preserve">halshs-04139912v1</w:t>
              </w:r>
            </w:hyperlink>
          </w:p>
        </w:tc>
      </w:tr>
      <w:tr>
        <w:trPr/>
        <w:tc>
          <w:tcPr>
            <w:noWrap/>
          </w:tcPr>
          <w:p>
            <w:pPr>
              <w:spacing w:after="200"/>
            </w:pPr>
            <w:hyperlink r:id="rId18" w:history="1">
              <w:r>
                <w:rPr>
                  <w:color w:val="1e198e"/>
                  <w:b w:val="1"/>
                  <w:bCs w:val="1"/>
                  <w:u w:val="single"/>
                </w:rPr>
                <w:t xml:space="preserve">Revirement de jurisprudence de la première chambre civile en matière de prescription biennale</w:t>
              </w:r>
            </w:hyperlink>
          </w:p>
          <w:p>
            <w:pPr/>
            <w:hyperlink r:id="rId10" w:history="1">
              <w:r>
                <w:rPr>
                  <w:color w:val="#410a8c"/>
                  <w:u w:val="single"/>
                </w:rPr>
                <w:t xml:space="preserve">Nicolas Mathey</w:t>
              </w:r>
            </w:hyperlink>
          </w:p>
          <w:p>
            <w:pPr/>
            <w:r>
              <w:rPr>
                <w:i w:val="1"/>
                <w:iCs w:val="1"/>
              </w:rPr>
              <w:t xml:space="preserve">La Semaine juridique. Entreprise et affaires</w:t>
            </w:r>
            <w:r>
              <w:rPr/>
              <w:t xml:space="preserve">, 2021, pp.1421</w:t>
            </w:r>
          </w:p>
          <w:p>
            <w:pPr/>
            <w:r>
              <w:rPr/>
              <w:t xml:space="preserve">Article dans une revue</w:t>
            </w:r>
          </w:p>
          <w:p>
            <w:pPr/>
            <w:hyperlink r:id="rId18" w:history="1">
              <w:r>
                <w:rPr>
                  <w:color w:val="#410a8c"/>
                  <w:u w:val="single"/>
                </w:rPr>
                <w:t xml:space="preserve">halshs-04139908v1</w:t>
              </w:r>
            </w:hyperlink>
          </w:p>
        </w:tc>
      </w:tr>
      <w:tr>
        <w:trPr/>
        <w:tc>
          <w:tcPr>
            <w:noWrap/>
          </w:tcPr>
          <w:p>
            <w:pPr>
              <w:spacing w:after="200"/>
            </w:pPr>
            <w:hyperlink r:id="rId19" w:history="1">
              <w:r>
                <w:rPr>
                  <w:color w:val="1e198e"/>
                  <w:b w:val="1"/>
                  <w:bCs w:val="1"/>
                  <w:u w:val="single"/>
                </w:rPr>
                <w:t xml:space="preserve">Détermination du bénéficiaire d'une garantie de passif : la société cédée peut-elle mettre en uvre la garantie ?</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09, pp.508</w:t>
            </w:r>
          </w:p>
          <w:p>
            <w:pPr/>
            <w:r>
              <w:rPr/>
              <w:t xml:space="preserve">Article dans une revue</w:t>
            </w:r>
          </w:p>
          <w:p>
            <w:pPr/>
            <w:hyperlink r:id="rId19" w:history="1">
              <w:r>
                <w:rPr>
                  <w:color w:val="#410a8c"/>
                  <w:u w:val="single"/>
                </w:rPr>
                <w:t xml:space="preserve">halshs-03332333v1</w:t>
              </w:r>
            </w:hyperlink>
          </w:p>
        </w:tc>
      </w:tr>
      <w:tr>
        <w:trPr/>
        <w:tc>
          <w:tcPr>
            <w:noWrap/>
          </w:tcPr>
          <w:p>
            <w:pPr>
              <w:spacing w:after="200"/>
            </w:pPr>
            <w:hyperlink r:id="rId20" w:history="1">
              <w:r>
                <w:rPr>
                  <w:color w:val="1e198e"/>
                  <w:b w:val="1"/>
                  <w:bCs w:val="1"/>
                  <w:u w:val="single"/>
                </w:rPr>
                <w:t xml:space="preserve">Détermination du bénéficiaire d’une garantie de passif</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pp.508</w:t>
            </w:r>
          </w:p>
          <w:p>
            <w:pPr/>
            <w:r>
              <w:rPr/>
              <w:t xml:space="preserve">Article dans une revue</w:t>
            </w:r>
          </w:p>
          <w:p>
            <w:pPr/>
            <w:hyperlink r:id="rId20" w:history="1">
              <w:r>
                <w:rPr>
                  <w:color w:val="#410a8c"/>
                  <w:u w:val="single"/>
                </w:rPr>
                <w:t xml:space="preserve">halshs-04139907v1</w:t>
              </w:r>
            </w:hyperlink>
          </w:p>
        </w:tc>
      </w:tr>
      <w:tr>
        <w:trPr/>
        <w:tc>
          <w:tcPr>
            <w:noWrap/>
          </w:tcPr>
          <w:p>
            <w:pPr>
              <w:spacing w:after="200"/>
            </w:pPr>
            <w:hyperlink r:id="rId21" w:history="1">
              <w:r>
                <w:rPr>
                  <w:color w:val="1e198e"/>
                  <w:b w:val="1"/>
                  <w:bCs w:val="1"/>
                  <w:u w:val="single"/>
                </w:rPr>
                <w:t xml:space="preserve">Cession de droits sociaux et vice du consentement</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pp.574</w:t>
            </w:r>
          </w:p>
          <w:p>
            <w:pPr/>
            <w:r>
              <w:rPr/>
              <w:t xml:space="preserve">Article dans une revue</w:t>
            </w:r>
          </w:p>
          <w:p>
            <w:pPr/>
            <w:hyperlink r:id="rId21" w:history="1">
              <w:r>
                <w:rPr>
                  <w:color w:val="#410a8c"/>
                  <w:u w:val="single"/>
                </w:rPr>
                <w:t xml:space="preserve">halshs-04139906v1</w:t>
              </w:r>
            </w:hyperlink>
          </w:p>
        </w:tc>
      </w:tr>
      <w:tr>
        <w:trPr/>
        <w:tc>
          <w:tcPr>
            <w:noWrap/>
          </w:tcPr>
          <w:p>
            <w:pPr>
              <w:spacing w:after="200"/>
            </w:pPr>
            <w:hyperlink r:id="rId22" w:history="1">
              <w:r>
                <w:rPr>
                  <w:color w:val="1e198e"/>
                  <w:b w:val="1"/>
                  <w:bCs w:val="1"/>
                  <w:u w:val="single"/>
                </w:rPr>
                <w:t xml:space="preserve">Centrales sous haute surveillance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2021, Repère 4</w:t>
            </w:r>
          </w:p>
          <w:p>
            <w:pPr/>
            <w:r>
              <w:rPr/>
              <w:t xml:space="preserve">Article dans une revue</w:t>
            </w:r>
          </w:p>
          <w:p>
            <w:pPr/>
            <w:hyperlink r:id="rId22" w:history="1">
              <w:r>
                <w:rPr>
                  <w:color w:val="#410a8c"/>
                  <w:u w:val="single"/>
                </w:rPr>
                <w:t xml:space="preserve">halshs-04139915v1</w:t>
              </w:r>
            </w:hyperlink>
          </w:p>
        </w:tc>
      </w:tr>
      <w:tr>
        <w:trPr/>
        <w:tc>
          <w:tcPr>
            <w:noWrap/>
          </w:tcPr>
          <w:p>
            <w:pPr>
              <w:spacing w:after="200"/>
            </w:pPr>
            <w:hyperlink r:id="rId23" w:history="1">
              <w:r>
                <w:rPr>
                  <w:color w:val="1e198e"/>
                  <w:b w:val="1"/>
                  <w:bCs w:val="1"/>
                  <w:u w:val="single"/>
                </w:rPr>
                <w:t xml:space="preserve">Louis Brandeis : In memoriam</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2021, Repère 9</w:t>
            </w:r>
          </w:p>
          <w:p>
            <w:pPr/>
            <w:r>
              <w:rPr/>
              <w:t xml:space="preserve">Article dans une revue</w:t>
            </w:r>
          </w:p>
          <w:p>
            <w:pPr/>
            <w:hyperlink r:id="rId23" w:history="1">
              <w:r>
                <w:rPr>
                  <w:color w:val="#410a8c"/>
                  <w:u w:val="single"/>
                </w:rPr>
                <w:t xml:space="preserve">halshs-04139914v1</w:t>
              </w:r>
            </w:hyperlink>
          </w:p>
        </w:tc>
      </w:tr>
      <w:tr>
        <w:trPr/>
        <w:tc>
          <w:tcPr>
            <w:noWrap/>
          </w:tcPr>
          <w:p>
            <w:pPr>
              <w:spacing w:after="200"/>
            </w:pPr>
            <w:hyperlink r:id="rId24" w:history="1">
              <w:r>
                <w:rPr>
                  <w:color w:val="1e198e"/>
                  <w:b w:val="1"/>
                  <w:bCs w:val="1"/>
                  <w:u w:val="single"/>
                </w:rPr>
                <w:t xml:space="preserve">Les devoirs fiduciaires du banquier</w:t>
              </w:r>
            </w:hyperlink>
          </w:p>
          <w:p>
            <w:pPr/>
            <w:hyperlink r:id="rId10" w:history="1">
              <w:r>
                <w:rPr>
                  <w:color w:val="#410a8c"/>
                  <w:u w:val="single"/>
                </w:rPr>
                <w:t xml:space="preserve">Nicolas Mathey</w:t>
              </w:r>
            </w:hyperlink>
          </w:p>
          <w:p>
            <w:pPr/>
            <w:r>
              <w:rPr>
                <w:i w:val="1"/>
                <w:iCs w:val="1"/>
              </w:rPr>
              <w:t xml:space="preserve">Revue de droit bancaire et financier</w:t>
            </w:r>
            <w:r>
              <w:rPr/>
              <w:t xml:space="preserve">, 2021, étude 14</w:t>
            </w:r>
          </w:p>
          <w:p>
            <w:pPr/>
            <w:r>
              <w:rPr/>
              <w:t xml:space="preserve">Article dans une revue</w:t>
            </w:r>
          </w:p>
          <w:p>
            <w:pPr/>
            <w:hyperlink r:id="rId24" w:history="1">
              <w:r>
                <w:rPr>
                  <w:color w:val="#410a8c"/>
                  <w:u w:val="single"/>
                </w:rPr>
                <w:t xml:space="preserve">halshs-04139282v1</w:t>
              </w:r>
            </w:hyperlink>
          </w:p>
        </w:tc>
      </w:tr>
      <w:tr>
        <w:trPr/>
        <w:tc>
          <w:tcPr>
            <w:noWrap/>
          </w:tcPr>
          <w:p>
            <w:pPr>
              <w:spacing w:after="200"/>
            </w:pPr>
            <w:hyperlink r:id="rId25" w:history="1">
              <w:r>
                <w:rPr>
                  <w:color w:val="1e198e"/>
                  <w:b w:val="1"/>
                  <w:bCs w:val="1"/>
                  <w:u w:val="single"/>
                </w:rPr>
                <w:t xml:space="preserve">Vers une évolution des exigences de preuve de l'intention dolosive ?</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10, pp.574</w:t>
            </w:r>
          </w:p>
          <w:p>
            <w:pPr/>
            <w:r>
              <w:rPr/>
              <w:t xml:space="preserve">Article dans une revue</w:t>
            </w:r>
          </w:p>
          <w:p>
            <w:pPr/>
            <w:hyperlink r:id="rId25" w:history="1">
              <w:r>
                <w:rPr>
                  <w:color w:val="#410a8c"/>
                  <w:u w:val="single"/>
                </w:rPr>
                <w:t xml:space="preserve">halshs-03371364v1</w:t>
              </w:r>
            </w:hyperlink>
          </w:p>
        </w:tc>
      </w:tr>
      <w:tr>
        <w:trPr/>
        <w:tc>
          <w:tcPr>
            <w:noWrap/>
          </w:tcPr>
          <w:p>
            <w:pPr>
              <w:spacing w:after="200"/>
            </w:pPr>
            <w:hyperlink r:id="rId26" w:history="1">
              <w:r>
                <w:rPr>
                  <w:color w:val="1e198e"/>
                  <w:b w:val="1"/>
                  <w:bCs w:val="1"/>
                  <w:u w:val="single"/>
                </w:rPr>
                <w:t xml:space="preserve">Les finalités du droit de la concurrence. Essai de téléologie du droit</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Dossier 13</w:t>
            </w:r>
          </w:p>
          <w:p>
            <w:pPr/>
            <w:r>
              <w:rPr/>
              <w:t xml:space="preserve">Article dans une revue</w:t>
            </w:r>
          </w:p>
          <w:p>
            <w:pPr/>
            <w:hyperlink r:id="rId26" w:history="1">
              <w:r>
                <w:rPr>
                  <w:color w:val="#410a8c"/>
                  <w:u w:val="single"/>
                </w:rPr>
                <w:t xml:space="preserve">halshs-04139272v1</w:t>
              </w:r>
            </w:hyperlink>
          </w:p>
        </w:tc>
      </w:tr>
      <w:tr>
        <w:trPr/>
        <w:tc>
          <w:tcPr>
            <w:noWrap/>
          </w:tcPr>
          <w:p>
            <w:pPr>
              <w:spacing w:after="200"/>
            </w:pPr>
            <w:hyperlink r:id="rId27" w:history="1">
              <w:r>
                <w:rPr>
                  <w:color w:val="1e198e"/>
                  <w:b w:val="1"/>
                  <w:bCs w:val="1"/>
                  <w:u w:val="single"/>
                </w:rPr>
                <w:t xml:space="preserve">Déséquilibre significatif et appréciation de l’effet d’une clause abusive</w:t>
              </w:r>
            </w:hyperlink>
          </w:p>
          <w:p>
            <w:pPr/>
            <w:hyperlink r:id="rId10" w:history="1">
              <w:r>
                <w:rPr>
                  <w:color w:val="#410a8c"/>
                  <w:u w:val="single"/>
                </w:rPr>
                <w:t xml:space="preserve">Nicolas Mathey</w:t>
              </w:r>
            </w:hyperlink>
          </w:p>
          <w:p>
            <w:pPr/>
            <w:r>
              <w:rPr>
                <w:i w:val="1"/>
                <w:iCs w:val="1"/>
              </w:rPr>
              <w:t xml:space="preserve">La Semaine juridique. Édition générale</w:t>
            </w:r>
            <w:r>
              <w:rPr/>
              <w:t xml:space="preserve">, 2020, pp.1173</w:t>
            </w:r>
          </w:p>
          <w:p>
            <w:pPr/>
            <w:r>
              <w:rPr/>
              <w:t xml:space="preserve">Article dans une revue</w:t>
            </w:r>
          </w:p>
          <w:p>
            <w:pPr/>
            <w:hyperlink r:id="rId27" w:history="1">
              <w:r>
                <w:rPr>
                  <w:color w:val="#410a8c"/>
                  <w:u w:val="single"/>
                </w:rPr>
                <w:t xml:space="preserve">halshs-04139909v1</w:t>
              </w:r>
            </w:hyperlink>
          </w:p>
        </w:tc>
      </w:tr>
      <w:tr>
        <w:trPr/>
        <w:tc>
          <w:tcPr>
            <w:noWrap/>
          </w:tcPr>
          <w:p>
            <w:pPr>
              <w:spacing w:after="200"/>
            </w:pPr>
            <w:hyperlink r:id="rId28" w:history="1">
              <w:r>
                <w:rPr>
                  <w:color w:val="1e198e"/>
                  <w:b w:val="1"/>
                  <w:bCs w:val="1"/>
                  <w:u w:val="single"/>
                </w:rPr>
                <w:t xml:space="preserve">Sort du cautionnement en cas de fusion du créancier</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2020, 04, pp.224</w:t>
            </w:r>
          </w:p>
          <w:p>
            <w:pPr/>
            <w:r>
              <w:rPr/>
              <w:t xml:space="preserve">Article dans une revue</w:t>
            </w:r>
          </w:p>
          <w:p>
            <w:pPr/>
            <w:hyperlink r:id="rId28" w:history="1">
              <w:r>
                <w:rPr>
                  <w:color w:val="#410a8c"/>
                  <w:u w:val="single"/>
                </w:rPr>
                <w:t xml:space="preserve">halshs-02531258v1</w:t>
              </w:r>
            </w:hyperlink>
          </w:p>
        </w:tc>
      </w:tr>
      <w:tr>
        <w:trPr/>
        <w:tc>
          <w:tcPr>
            <w:noWrap/>
          </w:tcPr>
          <w:p>
            <w:pPr>
              <w:spacing w:after="200"/>
            </w:pPr>
            <w:hyperlink r:id="rId29" w:history="1">
              <w:r>
                <w:rPr>
                  <w:color w:val="1e198e"/>
                  <w:b w:val="1"/>
                  <w:bCs w:val="1"/>
                  <w:u w:val="single"/>
                </w:rPr>
                <w:t xml:space="preserve">Une époque formidable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Repère 9</w:t>
            </w:r>
          </w:p>
          <w:p>
            <w:pPr/>
            <w:r>
              <w:rPr/>
              <w:t xml:space="preserve">Article dans une revue</w:t>
            </w:r>
          </w:p>
          <w:p>
            <w:pPr/>
            <w:hyperlink r:id="rId29" w:history="1">
              <w:r>
                <w:rPr>
                  <w:color w:val="#410a8c"/>
                  <w:u w:val="single"/>
                </w:rPr>
                <w:t xml:space="preserve">halshs-04139917v1</w:t>
              </w:r>
            </w:hyperlink>
          </w:p>
        </w:tc>
      </w:tr>
      <w:tr>
        <w:trPr/>
        <w:tc>
          <w:tcPr>
            <w:noWrap/>
          </w:tcPr>
          <w:p>
            <w:pPr>
              <w:spacing w:after="200"/>
            </w:pPr>
            <w:hyperlink r:id="rId30" w:history="1">
              <w:r>
                <w:rPr>
                  <w:color w:val="1e198e"/>
                  <w:b w:val="1"/>
                  <w:bCs w:val="1"/>
                  <w:u w:val="single"/>
                </w:rPr>
                <w:t xml:space="preserve">Les paradoxes de la liberté de la négociation commerciale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Repère 10</w:t>
            </w:r>
          </w:p>
          <w:p>
            <w:pPr/>
            <w:r>
              <w:rPr/>
              <w:t xml:space="preserve">Article dans une revue</w:t>
            </w:r>
          </w:p>
          <w:p>
            <w:pPr/>
            <w:hyperlink r:id="rId30" w:history="1">
              <w:r>
                <w:rPr>
                  <w:color w:val="#410a8c"/>
                  <w:u w:val="single"/>
                </w:rPr>
                <w:t xml:space="preserve">halshs-04139918v1</w:t>
              </w:r>
            </w:hyperlink>
          </w:p>
        </w:tc>
      </w:tr>
      <w:tr>
        <w:trPr/>
        <w:tc>
          <w:tcPr>
            <w:noWrap/>
          </w:tcPr>
          <w:p>
            <w:pPr>
              <w:spacing w:after="200"/>
            </w:pPr>
            <w:hyperlink r:id="rId31" w:history="1">
              <w:r>
                <w:rPr>
                  <w:color w:val="1e198e"/>
                  <w:b w:val="1"/>
                  <w:bCs w:val="1"/>
                  <w:u w:val="single"/>
                </w:rPr>
                <w:t xml:space="preserve">La rupture de relations commerciales établies. Propos conclusifs</w:t>
              </w:r>
            </w:hyperlink>
          </w:p>
          <w:p>
            <w:pPr/>
            <w:hyperlink r:id="rId10" w:history="1">
              <w:r>
                <w:rPr>
                  <w:color w:val="#410a8c"/>
                  <w:u w:val="single"/>
                </w:rPr>
                <w:t xml:space="preserve">Nicolas Mathey</w:t>
              </w:r>
            </w:hyperlink>
          </w:p>
          <w:p>
            <w:pPr/>
            <w:r>
              <w:rPr>
                <w:i w:val="1"/>
                <w:iCs w:val="1"/>
              </w:rPr>
              <w:t xml:space="preserve">Actualité juridique Contrats d'affaires : concurrence, distribution</w:t>
            </w:r>
            <w:r>
              <w:rPr/>
              <w:t xml:space="preserve">, 2019, n°2, pp.66</w:t>
            </w:r>
          </w:p>
          <w:p>
            <w:pPr/>
            <w:r>
              <w:rPr/>
              <w:t xml:space="preserve">Article dans une revue</w:t>
            </w:r>
          </w:p>
          <w:p>
            <w:pPr/>
            <w:hyperlink r:id="rId31" w:history="1">
              <w:r>
                <w:rPr>
                  <w:color w:val="#410a8c"/>
                  <w:u w:val="single"/>
                </w:rPr>
                <w:t xml:space="preserve">halshs-04139279v1</w:t>
              </w:r>
            </w:hyperlink>
          </w:p>
        </w:tc>
      </w:tr>
      <w:tr>
        <w:trPr/>
        <w:tc>
          <w:tcPr>
            <w:noWrap/>
          </w:tcPr>
          <w:p>
            <w:pPr>
              <w:spacing w:after="200"/>
            </w:pPr>
            <w:hyperlink r:id="rId32" w:history="1">
              <w:r>
                <w:rPr>
                  <w:color w:val="1e198e"/>
                  <w:b w:val="1"/>
                  <w:bCs w:val="1"/>
                  <w:u w:val="single"/>
                </w:rPr>
                <w:t xml:space="preserve">La rupture de relations commerciales établies</w:t>
              </w:r>
            </w:hyperlink>
          </w:p>
          <w:p>
            <w:pPr/>
            <w:hyperlink r:id="rId10" w:history="1">
              <w:r>
                <w:rPr>
                  <w:color w:val="#410a8c"/>
                  <w:u w:val="single"/>
                </w:rPr>
                <w:t xml:space="preserve">Nicolas Mathey</w:t>
              </w:r>
            </w:hyperlink>
          </w:p>
          <w:p>
            <w:pPr/>
            <w:r>
              <w:rPr>
                <w:i w:val="1"/>
                <w:iCs w:val="1"/>
              </w:rPr>
              <w:t xml:space="preserve">Actualité juridique Contrats d'affaires : concurrence, distribution</w:t>
            </w:r>
            <w:r>
              <w:rPr/>
              <w:t xml:space="preserve">, 2019, 02, pp.66</w:t>
            </w:r>
          </w:p>
          <w:p>
            <w:pPr/>
            <w:r>
              <w:rPr/>
              <w:t xml:space="preserve">Article dans une revue</w:t>
            </w:r>
          </w:p>
          <w:p>
            <w:pPr/>
            <w:hyperlink r:id="rId32" w:history="1">
              <w:r>
                <w:rPr>
                  <w:color w:val="#410a8c"/>
                  <w:u w:val="single"/>
                </w:rPr>
                <w:t xml:space="preserve">halshs-02450798v1</w:t>
              </w:r>
            </w:hyperlink>
          </w:p>
        </w:tc>
      </w:tr>
      <w:tr>
        <w:trPr/>
        <w:tc>
          <w:tcPr>
            <w:noWrap/>
          </w:tcPr>
          <w:p>
            <w:pPr>
              <w:spacing w:after="200"/>
            </w:pPr>
            <w:hyperlink r:id="rId33" w:history="1">
              <w:r>
                <w:rPr>
                  <w:color w:val="1e198e"/>
                  <w:b w:val="1"/>
                  <w:bCs w:val="1"/>
                  <w:u w:val="single"/>
                </w:rPr>
                <w:t xml:space="preserve">Dire le droit</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2019, Repère 9</w:t>
            </w:r>
          </w:p>
          <w:p>
            <w:pPr/>
            <w:r>
              <w:rPr/>
              <w:t xml:space="preserve">Article dans une revue</w:t>
            </w:r>
          </w:p>
          <w:p>
            <w:pPr/>
            <w:hyperlink r:id="rId33" w:history="1">
              <w:r>
                <w:rPr>
                  <w:color w:val="#410a8c"/>
                  <w:u w:val="single"/>
                </w:rPr>
                <w:t xml:space="preserve">halshs-04139919v1</w:t>
              </w:r>
            </w:hyperlink>
          </w:p>
        </w:tc>
      </w:tr>
      <w:tr>
        <w:trPr/>
        <w:tc>
          <w:tcPr>
            <w:noWrap/>
          </w:tcPr>
          <w:p>
            <w:pPr>
              <w:spacing w:after="200"/>
            </w:pPr>
            <w:hyperlink r:id="rId34" w:history="1">
              <w:r>
                <w:rPr>
                  <w:color w:val="1e198e"/>
                  <w:b w:val="1"/>
                  <w:bCs w:val="1"/>
                  <w:u w:val="single"/>
                </w:rPr>
                <w:t xml:space="preserve">L'indigestion législative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2019, Repère 4</w:t>
            </w:r>
          </w:p>
          <w:p>
            <w:pPr/>
            <w:r>
              <w:rPr/>
              <w:t xml:space="preserve">Article dans une revue</w:t>
            </w:r>
          </w:p>
          <w:p>
            <w:pPr/>
            <w:hyperlink r:id="rId34" w:history="1">
              <w:r>
                <w:rPr>
                  <w:color w:val="#410a8c"/>
                  <w:u w:val="single"/>
                </w:rPr>
                <w:t xml:space="preserve">halshs-04139920v1</w:t>
              </w:r>
            </w:hyperlink>
          </w:p>
        </w:tc>
      </w:tr>
      <w:tr>
        <w:trPr/>
        <w:tc>
          <w:tcPr>
            <w:noWrap/>
          </w:tcPr>
          <w:p>
            <w:pPr>
              <w:spacing w:after="200"/>
            </w:pPr>
            <w:hyperlink r:id="rId35" w:history="1">
              <w:r>
                <w:rPr>
                  <w:color w:val="1e198e"/>
                  <w:b w:val="1"/>
                  <w:bCs w:val="1"/>
                  <w:u w:val="single"/>
                </w:rPr>
                <w:t xml:space="preserve">Les enjeux juridiques de la digitalisation du secteur bancaire</w:t>
              </w:r>
            </w:hyperlink>
          </w:p>
          <w:p>
            <w:pPr/>
            <w:hyperlink r:id="rId10" w:history="1">
              <w:r>
                <w:rPr>
                  <w:color w:val="#410a8c"/>
                  <w:u w:val="single"/>
                </w:rPr>
                <w:t xml:space="preserve">Nicolas Mathey</w:t>
              </w:r>
            </w:hyperlink>
          </w:p>
          <w:p>
            <w:pPr/>
            <w:r>
              <w:rPr>
                <w:i w:val="1"/>
                <w:iCs w:val="1"/>
              </w:rPr>
              <w:t xml:space="preserve">Revue de droit bancaire et financier</w:t>
            </w:r>
            <w:r>
              <w:rPr/>
              <w:t xml:space="preserve">, 2019, Dossier 49</w:t>
            </w:r>
          </w:p>
          <w:p>
            <w:pPr/>
            <w:r>
              <w:rPr/>
              <w:t xml:space="preserve">Article dans une revue</w:t>
            </w:r>
          </w:p>
          <w:p>
            <w:pPr/>
            <w:hyperlink r:id="rId35" w:history="1">
              <w:r>
                <w:rPr>
                  <w:color w:val="#410a8c"/>
                  <w:u w:val="single"/>
                </w:rPr>
                <w:t xml:space="preserve">halshs-04139810v1</w:t>
              </w:r>
            </w:hyperlink>
          </w:p>
        </w:tc>
      </w:tr>
      <w:tr>
        <w:trPr/>
        <w:tc>
          <w:tcPr>
            <w:noWrap/>
          </w:tcPr>
          <w:p>
            <w:pPr>
              <w:spacing w:after="200"/>
            </w:pPr>
            <w:hyperlink r:id="rId36" w:history="1">
              <w:r>
                <w:rPr>
                  <w:color w:val="1e198e"/>
                  <w:b w:val="1"/>
                  <w:bCs w:val="1"/>
                  <w:u w:val="single"/>
                </w:rPr>
                <w:t xml:space="preserve">Chronique de droit privé</w:t>
              </w:r>
            </w:hyperlink>
          </w:p>
          <w:p>
            <w:pPr/>
            <w:hyperlink r:id="rId10" w:history="1">
              <w:r>
                <w:rPr>
                  <w:color w:val="#410a8c"/>
                  <w:u w:val="single"/>
                </w:rPr>
                <w:t xml:space="preserve">Nicolas Mathey</w:t>
              </w:r>
            </w:hyperlink>
          </w:p>
          <w:p>
            <w:pPr/>
            <w:r>
              <w:rPr>
                <w:i w:val="1"/>
                <w:iCs w:val="1"/>
              </w:rPr>
              <w:t xml:space="preserve">Société, droit et religion</w:t>
            </w:r>
            <w:r>
              <w:rPr/>
              <w:t xml:space="preserve">, 2019, Numéro9 (1), pp.139. </w:t>
            </w:r>
            <w:hyperlink r:id="rId37" w:history="1">
              <w:r>
                <w:rPr>
                  <w:color w:val="#410a8c"/>
                  <w:u w:val="single"/>
                </w:rPr>
                <w:t xml:space="preserve">⟨10.3917/sdr.009.0139⟩</w:t>
              </w:r>
            </w:hyperlink>
          </w:p>
          <w:p>
            <w:pPr/>
            <w:r>
              <w:rPr/>
              <w:t xml:space="preserve">Article dans une revue</w:t>
            </w:r>
          </w:p>
          <w:p>
            <w:pPr/>
            <w:hyperlink r:id="rId36" w:history="1">
              <w:r>
                <w:rPr>
                  <w:color w:val="#410a8c"/>
                  <w:u w:val="single"/>
                </w:rPr>
                <w:t xml:space="preserve">hal-03950315v1</w:t>
              </w:r>
            </w:hyperlink>
          </w:p>
        </w:tc>
      </w:tr>
      <w:tr>
        <w:trPr/>
        <w:tc>
          <w:tcPr>
            <w:noWrap/>
          </w:tcPr>
          <w:p>
            <w:pPr>
              <w:spacing w:after="200"/>
            </w:pPr>
            <w:hyperlink r:id="rId38" w:history="1">
              <w:r>
                <w:rPr>
                  <w:color w:val="1e198e"/>
                  <w:b w:val="1"/>
                  <w:bCs w:val="1"/>
                  <w:u w:val="single"/>
                </w:rPr>
                <w:t xml:space="preserve">Les prêts en devise</w:t>
              </w:r>
            </w:hyperlink>
          </w:p>
          <w:p>
            <w:pPr/>
            <w:hyperlink r:id="rId10" w:history="1">
              <w:r>
                <w:rPr>
                  <w:color w:val="#410a8c"/>
                  <w:u w:val="single"/>
                </w:rPr>
                <w:t xml:space="preserve">Nicolas Mathey</w:t>
              </w:r>
            </w:hyperlink>
          </w:p>
          <w:p>
            <w:pPr/>
            <w:r>
              <w:rPr>
                <w:i w:val="1"/>
                <w:iCs w:val="1"/>
              </w:rPr>
              <w:t xml:space="preserve">Banque &amp; Droit</w:t>
            </w:r>
            <w:r>
              <w:rPr/>
              <w:t xml:space="preserve">, 2018, n°1</w:t>
            </w:r>
          </w:p>
          <w:p>
            <w:pPr/>
            <w:r>
              <w:rPr/>
              <w:t xml:space="preserve">Article dans une revue</w:t>
            </w:r>
          </w:p>
          <w:p>
            <w:pPr/>
            <w:hyperlink r:id="rId38" w:history="1">
              <w:r>
                <w:rPr>
                  <w:color w:val="#410a8c"/>
                  <w:u w:val="single"/>
                </w:rPr>
                <w:t xml:space="preserve">halshs-04139811v1</w:t>
              </w:r>
            </w:hyperlink>
          </w:p>
        </w:tc>
      </w:tr>
      <w:tr>
        <w:trPr/>
        <w:tc>
          <w:tcPr>
            <w:noWrap/>
          </w:tcPr>
          <w:p>
            <w:pPr>
              <w:spacing w:after="200"/>
            </w:pPr>
            <w:hyperlink r:id="rId39" w:history="1">
              <w:r>
                <w:rPr>
                  <w:color w:val="1e198e"/>
                  <w:b w:val="1"/>
                  <w:bCs w:val="1"/>
                  <w:u w:val="single"/>
                </w:rPr>
                <w:t xml:space="preserve">Le prix et le juge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2018, Repère 10</w:t>
            </w:r>
          </w:p>
          <w:p>
            <w:pPr/>
            <w:r>
              <w:rPr/>
              <w:t xml:space="preserve">Article dans une revue</w:t>
            </w:r>
          </w:p>
          <w:p>
            <w:pPr/>
            <w:hyperlink r:id="rId39" w:history="1">
              <w:r>
                <w:rPr>
                  <w:color w:val="#410a8c"/>
                  <w:u w:val="single"/>
                </w:rPr>
                <w:t xml:space="preserve">halshs-04139921v1</w:t>
              </w:r>
            </w:hyperlink>
          </w:p>
        </w:tc>
      </w:tr>
      <w:tr>
        <w:trPr/>
        <w:tc>
          <w:tcPr>
            <w:noWrap/>
          </w:tcPr>
          <w:p>
            <w:pPr>
              <w:spacing w:after="200"/>
            </w:pPr>
            <w:hyperlink r:id="rId40" w:history="1">
              <w:r>
                <w:rPr>
                  <w:color w:val="1e198e"/>
                  <w:b w:val="1"/>
                  <w:bCs w:val="1"/>
                  <w:u w:val="single"/>
                </w:rPr>
                <w:t xml:space="preserve">Mangez équilibré !</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2018, Repère 4</w:t>
            </w:r>
          </w:p>
          <w:p>
            <w:pPr/>
            <w:r>
              <w:rPr/>
              <w:t xml:space="preserve">Article dans une revue</w:t>
            </w:r>
          </w:p>
          <w:p>
            <w:pPr/>
            <w:hyperlink r:id="rId40" w:history="1">
              <w:r>
                <w:rPr>
                  <w:color w:val="#410a8c"/>
                  <w:u w:val="single"/>
                </w:rPr>
                <w:t xml:space="preserve">halshs-04139922v1</w:t>
              </w:r>
            </w:hyperlink>
          </w:p>
        </w:tc>
      </w:tr>
      <w:tr>
        <w:trPr/>
        <w:tc>
          <w:tcPr>
            <w:noWrap/>
          </w:tcPr>
          <w:p>
            <w:pPr>
              <w:spacing w:after="200"/>
            </w:pPr>
            <w:hyperlink r:id="rId41" w:history="1">
              <w:r>
                <w:rPr>
                  <w:color w:val="1e198e"/>
                  <w:b w:val="1"/>
                  <w:bCs w:val="1"/>
                  <w:u w:val="single"/>
                </w:rPr>
                <w:t xml:space="preserve">Protéger !</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2017, Repère 8</w:t>
            </w:r>
          </w:p>
          <w:p>
            <w:pPr/>
            <w:r>
              <w:rPr/>
              <w:t xml:space="preserve">Article dans une revue</w:t>
            </w:r>
          </w:p>
          <w:p>
            <w:pPr/>
            <w:hyperlink r:id="rId41" w:history="1">
              <w:r>
                <w:rPr>
                  <w:color w:val="#410a8c"/>
                  <w:u w:val="single"/>
                </w:rPr>
                <w:t xml:space="preserve">halshs-04139923v1</w:t>
              </w:r>
            </w:hyperlink>
          </w:p>
        </w:tc>
      </w:tr>
      <w:tr>
        <w:trPr/>
        <w:tc>
          <w:tcPr>
            <w:noWrap/>
          </w:tcPr>
          <w:p>
            <w:pPr>
              <w:spacing w:after="200"/>
            </w:pPr>
            <w:hyperlink r:id="rId42" w:history="1">
              <w:r>
                <w:rPr>
                  <w:color w:val="1e198e"/>
                  <w:b w:val="1"/>
                  <w:bCs w:val="1"/>
                  <w:u w:val="single"/>
                </w:rPr>
                <w:t xml:space="preserve">Vers une régulation des FinTechs ?</w:t>
              </w:r>
            </w:hyperlink>
          </w:p>
          <w:p>
            <w:pPr/>
            <w:hyperlink r:id="rId10" w:history="1">
              <w:r>
                <w:rPr>
                  <w:color w:val="#410a8c"/>
                  <w:u w:val="single"/>
                </w:rPr>
                <w:t xml:space="preserve">Nicolas Mathey</w:t>
              </w:r>
            </w:hyperlink>
            <w:r>
              <w:rPr/>
              <w:t xml:space="preserve">,</w:t>
            </w:r>
            <w:hyperlink r:id="rId43" w:history="1">
              <w:r>
                <w:rPr>
                  <w:color w:val="#410a8c"/>
                  <w:u w:val="single"/>
                </w:rPr>
                <w:t xml:space="preserve">Gautier Bourdeaux</w:t>
              </w:r>
            </w:hyperlink>
          </w:p>
          <w:p>
            <w:pPr/>
            <w:r>
              <w:rPr>
                <w:i w:val="1"/>
                <w:iCs w:val="1"/>
              </w:rPr>
              <w:t xml:space="preserve">Revue de droit bancaire et financier</w:t>
            </w:r>
            <w:r>
              <w:rPr/>
              <w:t xml:space="preserve">, 2017, Dossier 15</w:t>
            </w:r>
          </w:p>
          <w:p>
            <w:pPr/>
            <w:r>
              <w:rPr/>
              <w:t xml:space="preserve">Article dans une revue</w:t>
            </w:r>
          </w:p>
          <w:p>
            <w:pPr/>
            <w:hyperlink r:id="rId42" w:history="1">
              <w:r>
                <w:rPr>
                  <w:color w:val="#410a8c"/>
                  <w:u w:val="single"/>
                </w:rPr>
                <w:t xml:space="preserve">halshs-04139812v1</w:t>
              </w:r>
            </w:hyperlink>
          </w:p>
        </w:tc>
      </w:tr>
      <w:tr>
        <w:trPr/>
        <w:tc>
          <w:tcPr>
            <w:noWrap/>
          </w:tcPr>
          <w:p>
            <w:pPr>
              <w:spacing w:after="200"/>
            </w:pPr>
            <w:hyperlink r:id="rId44" w:history="1">
              <w:r>
                <w:rPr>
                  <w:color w:val="1e198e"/>
                  <w:b w:val="1"/>
                  <w:bCs w:val="1"/>
                  <w:u w:val="single"/>
                </w:rPr>
                <w:t xml:space="preserve">Fraude et preuve de la fraude en droit des services de paiement</w:t>
              </w:r>
            </w:hyperlink>
          </w:p>
          <w:p>
            <w:pPr/>
            <w:hyperlink r:id="rId10" w:history="1">
              <w:r>
                <w:rPr>
                  <w:color w:val="#410a8c"/>
                  <w:u w:val="single"/>
                </w:rPr>
                <w:t xml:space="preserve">Nicolas Mathey</w:t>
              </w:r>
            </w:hyperlink>
          </w:p>
          <w:p>
            <w:pPr/>
            <w:r>
              <w:rPr>
                <w:i w:val="1"/>
                <w:iCs w:val="1"/>
              </w:rPr>
              <w:t xml:space="preserve">Revue Lamy Droit des affaires</w:t>
            </w:r>
            <w:r>
              <w:rPr/>
              <w:t xml:space="preserve">, 2017, n°126</w:t>
            </w:r>
          </w:p>
          <w:p>
            <w:pPr/>
            <w:r>
              <w:rPr/>
              <w:t xml:space="preserve">Article dans une revue</w:t>
            </w:r>
          </w:p>
          <w:p>
            <w:pPr/>
            <w:hyperlink r:id="rId44" w:history="1">
              <w:r>
                <w:rPr>
                  <w:color w:val="#410a8c"/>
                  <w:u w:val="single"/>
                </w:rPr>
                <w:t xml:space="preserve">halshs-04139910v1</w:t>
              </w:r>
            </w:hyperlink>
          </w:p>
        </w:tc>
      </w:tr>
      <w:tr>
        <w:trPr/>
        <w:tc>
          <w:tcPr>
            <w:noWrap/>
          </w:tcPr>
          <w:p>
            <w:pPr>
              <w:spacing w:after="200"/>
            </w:pPr>
            <w:hyperlink r:id="rId45" w:history="1">
              <w:r>
                <w:rPr>
                  <w:color w:val="1e198e"/>
                  <w:b w:val="1"/>
                  <w:bCs w:val="1"/>
                  <w:u w:val="single"/>
                </w:rPr>
                <w:t xml:space="preserve">Le jour d'après</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2017, Repère 5</w:t>
            </w:r>
          </w:p>
          <w:p>
            <w:pPr/>
            <w:r>
              <w:rPr/>
              <w:t xml:space="preserve">Article dans une revue</w:t>
            </w:r>
          </w:p>
          <w:p>
            <w:pPr/>
            <w:hyperlink r:id="rId45" w:history="1">
              <w:r>
                <w:rPr>
                  <w:color w:val="#410a8c"/>
                  <w:u w:val="single"/>
                </w:rPr>
                <w:t xml:space="preserve">halshs-04139924v1</w:t>
              </w:r>
            </w:hyperlink>
          </w:p>
        </w:tc>
      </w:tr>
      <w:tr>
        <w:trPr/>
        <w:tc>
          <w:tcPr>
            <w:noWrap/>
          </w:tcPr>
          <w:p>
            <w:pPr>
              <w:spacing w:after="200"/>
            </w:pPr>
            <w:hyperlink r:id="rId46" w:history="1">
              <w:r>
                <w:rPr>
                  <w:color w:val="1e198e"/>
                  <w:b w:val="1"/>
                  <w:bCs w:val="1"/>
                  <w:u w:val="single"/>
                </w:rPr>
                <w:t xml:space="preserve">Vers une régulation des Fintechs ?</w:t>
              </w:r>
            </w:hyperlink>
          </w:p>
          <w:p>
            <w:pPr/>
            <w:hyperlink r:id="rId43" w:history="1">
              <w:r>
                <w:rPr>
                  <w:color w:val="#410a8c"/>
                  <w:u w:val="single"/>
                </w:rPr>
                <w:t xml:space="preserve">Gautier Bourdeaux</w:t>
              </w:r>
            </w:hyperlink>
            <w:r>
              <w:rPr/>
              <w:t xml:space="preserve">,</w:t>
            </w:r>
            <w:hyperlink r:id="rId10" w:history="1">
              <w:r>
                <w:rPr>
                  <w:color w:val="#410a8c"/>
                  <w:u w:val="single"/>
                </w:rPr>
                <w:t xml:space="preserve">Nicolas Mathey</w:t>
              </w:r>
            </w:hyperlink>
          </w:p>
          <w:p>
            <w:pPr/>
            <w:r>
              <w:rPr>
                <w:i w:val="1"/>
                <w:iCs w:val="1"/>
              </w:rPr>
              <w:t xml:space="preserve">Revue de droit bancaire et financier</w:t>
            </w:r>
            <w:r>
              <w:rPr/>
              <w:t xml:space="preserve">, 2017</w:t>
            </w:r>
          </w:p>
          <w:p>
            <w:pPr/>
            <w:r>
              <w:rPr/>
              <w:t xml:space="preserve">Article dans une revue</w:t>
            </w:r>
          </w:p>
          <w:p>
            <w:pPr/>
            <w:hyperlink r:id="rId46" w:history="1">
              <w:r>
                <w:rPr>
                  <w:color w:val="#410a8c"/>
                  <w:u w:val="single"/>
                </w:rPr>
                <w:t xml:space="preserve">hal-03664276v1</w:t>
              </w:r>
            </w:hyperlink>
          </w:p>
        </w:tc>
      </w:tr>
      <w:tr>
        <w:trPr/>
        <w:tc>
          <w:tcPr>
            <w:noWrap/>
          </w:tcPr>
          <w:p>
            <w:pPr>
              <w:spacing w:after="200"/>
            </w:pPr>
            <w:hyperlink r:id="rId47" w:history="1">
              <w:r>
                <w:rPr>
                  <w:color w:val="1e198e"/>
                  <w:b w:val="1"/>
                  <w:bCs w:val="1"/>
                  <w:u w:val="single"/>
                </w:rPr>
                <w:t xml:space="preserve">Action en inopposabilité de cessions de parts de commandités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2013, 07 et 08, pp.436</w:t>
            </w:r>
          </w:p>
          <w:p>
            <w:pPr/>
            <w:r>
              <w:rPr/>
              <w:t xml:space="preserve">Article dans une revue</w:t>
            </w:r>
          </w:p>
          <w:p>
            <w:pPr/>
            <w:hyperlink r:id="rId47" w:history="1">
              <w:r>
                <w:rPr>
                  <w:color w:val="#410a8c"/>
                  <w:u w:val="single"/>
                </w:rPr>
                <w:t xml:space="preserve">halshs-02240060v1</w:t>
              </w:r>
            </w:hyperlink>
          </w:p>
        </w:tc>
      </w:tr>
      <w:tr>
        <w:trPr/>
        <w:tc>
          <w:tcPr>
            <w:noWrap/>
          </w:tcPr>
          <w:p>
            <w:pPr>
              <w:spacing w:after="200"/>
            </w:pPr>
            <w:hyperlink r:id="rId48" w:history="1">
              <w:r>
                <w:rPr>
                  <w:color w:val="1e198e"/>
                  <w:b w:val="1"/>
                  <w:bCs w:val="1"/>
                  <w:u w:val="single"/>
                </w:rPr>
                <w:t xml:space="preserve">Société fictive : rappel et mise en uvre des critères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2010, 04, pp.781</w:t>
            </w:r>
          </w:p>
          <w:p>
            <w:pPr/>
            <w:r>
              <w:rPr/>
              <w:t xml:space="preserve">Article dans une revue</w:t>
            </w:r>
          </w:p>
          <w:p>
            <w:pPr/>
            <w:hyperlink r:id="rId48" w:history="1">
              <w:r>
                <w:rPr>
                  <w:color w:val="#410a8c"/>
                  <w:u w:val="single"/>
                </w:rPr>
                <w:t xml:space="preserve">halshs-02239547v1</w:t>
              </w:r>
            </w:hyperlink>
          </w:p>
        </w:tc>
      </w:tr>
      <w:tr>
        <w:trPr/>
        <w:tc>
          <w:tcPr>
            <w:noWrap/>
          </w:tcPr>
          <w:p>
            <w:pPr>
              <w:spacing w:after="200"/>
            </w:pPr>
            <w:hyperlink r:id="rId49" w:history="1">
              <w:r>
                <w:rPr>
                  <w:color w:val="1e198e"/>
                  <w:b w:val="1"/>
                  <w:bCs w:val="1"/>
                  <w:u w:val="single"/>
                </w:rPr>
                <w:t xml:space="preserve">L'opposabilité de la cession de parts de SCI par un créancier social n'est pas soumise à l'article 1865 du code civil</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2008, 04, pp.845</w:t>
            </w:r>
          </w:p>
          <w:p>
            <w:pPr/>
            <w:r>
              <w:rPr/>
              <w:t xml:space="preserve">Article dans une revue</w:t>
            </w:r>
          </w:p>
          <w:p>
            <w:pPr/>
            <w:hyperlink r:id="rId49" w:history="1">
              <w:r>
                <w:rPr>
                  <w:color w:val="#410a8c"/>
                  <w:u w:val="single"/>
                </w:rPr>
                <w:t xml:space="preserve">halshs-02239408v1</w:t>
              </w:r>
            </w:hyperlink>
          </w:p>
        </w:tc>
      </w:tr>
      <w:tr>
        <w:trPr/>
        <w:tc>
          <w:tcPr>
            <w:noWrap/>
          </w:tcPr>
          <w:p>
            <w:pPr>
              <w:spacing w:after="200"/>
            </w:pPr>
            <w:hyperlink r:id="rId50" w:history="1">
              <w:r>
                <w:rPr>
                  <w:color w:val="1e198e"/>
                  <w:b w:val="1"/>
                  <w:bCs w:val="1"/>
                  <w:u w:val="single"/>
                </w:rPr>
                <w:t xml:space="preserve">Les droits et libertés fondamentaux des personnes morales de droit privé</w:t>
              </w:r>
            </w:hyperlink>
          </w:p>
          <w:p>
            <w:pPr/>
            <w:hyperlink r:id="rId10" w:history="1">
              <w:r>
                <w:rPr>
                  <w:color w:val="#410a8c"/>
                  <w:u w:val="single"/>
                </w:rPr>
                <w:t xml:space="preserve">Nicolas Mathey</w:t>
              </w:r>
            </w:hyperlink>
          </w:p>
          <w:p>
            <w:pPr/>
            <w:r>
              <w:rPr>
                <w:i w:val="1"/>
                <w:iCs w:val="1"/>
              </w:rPr>
              <w:t xml:space="preserve">RTDCiv. Revue trimestrielle de droit civil</w:t>
            </w:r>
            <w:r>
              <w:rPr/>
              <w:t xml:space="preserve">, 2008, 02, pp.205</w:t>
            </w:r>
          </w:p>
          <w:p>
            <w:pPr/>
            <w:r>
              <w:rPr/>
              <w:t xml:space="preserve">Article dans une revue</w:t>
            </w:r>
          </w:p>
          <w:p>
            <w:pPr/>
            <w:hyperlink r:id="rId50" w:history="1">
              <w:r>
                <w:rPr>
                  <w:color w:val="#410a8c"/>
                  <w:u w:val="single"/>
                </w:rPr>
                <w:t xml:space="preserve">halshs-02248255v1</w:t>
              </w:r>
            </w:hyperlink>
          </w:p>
        </w:tc>
      </w:tr>
      <w:tr>
        <w:trPr/>
        <w:tc>
          <w:tcPr>
            <w:noWrap/>
          </w:tcPr>
          <w:p>
            <w:pPr>
              <w:spacing w:after="200"/>
            </w:pPr>
            <w:hyperlink r:id="rId51" w:history="1">
              <w:r>
                <w:rPr>
                  <w:color w:val="1e198e"/>
                  <w:b w:val="1"/>
                  <w:bCs w:val="1"/>
                  <w:u w:val="single"/>
                </w:rPr>
                <w:t xml:space="preserve">La réforme prétorienne des règles d'opposabilité des cessions de droits sociaux</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2008, 02, pp.348</w:t>
            </w:r>
          </w:p>
          <w:p>
            <w:pPr/>
            <w:r>
              <w:rPr/>
              <w:t xml:space="preserve">Article dans une revue</w:t>
            </w:r>
          </w:p>
          <w:p>
            <w:pPr/>
            <w:hyperlink r:id="rId51" w:history="1">
              <w:r>
                <w:rPr>
                  <w:color w:val="#410a8c"/>
                  <w:u w:val="single"/>
                </w:rPr>
                <w:t xml:space="preserve">halshs-02239444v1</w:t>
              </w:r>
            </w:hyperlink>
          </w:p>
        </w:tc>
      </w:tr>
      <w:tr>
        <w:trPr/>
        <w:tc>
          <w:tcPr>
            <w:noWrap/>
          </w:tcPr>
          <w:p>
            <w:pPr>
              <w:spacing w:after="200"/>
            </w:pPr>
            <w:hyperlink r:id="rId52" w:history="1">
              <w:r>
                <w:rPr>
                  <w:color w:val="1e198e"/>
                  <w:b w:val="1"/>
                  <w:bCs w:val="1"/>
                  <w:u w:val="single"/>
                </w:rPr>
                <w:t xml:space="preserve">Quand la réalité dépasse la fiction</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2007, 04, pp.798</w:t>
            </w:r>
          </w:p>
          <w:p>
            <w:pPr/>
            <w:r>
              <w:rPr/>
              <w:t xml:space="preserve">Article dans une revue</w:t>
            </w:r>
          </w:p>
          <w:p>
            <w:pPr/>
            <w:hyperlink r:id="rId52" w:history="1">
              <w:r>
                <w:rPr>
                  <w:color w:val="#410a8c"/>
                  <w:u w:val="single"/>
                </w:rPr>
                <w:t xml:space="preserve">halshs-02239335v1</w:t>
              </w:r>
            </w:hyperlink>
          </w:p>
        </w:tc>
      </w:tr>
      <w:tr>
        <w:trPr/>
        <w:tc>
          <w:tcPr>
            <w:noWrap/>
          </w:tcPr>
          <w:p>
            <w:pPr>
              <w:spacing w:after="200"/>
            </w:pPr>
            <w:hyperlink r:id="rId53" w:history="1">
              <w:r>
                <w:rPr>
                  <w:color w:val="1e198e"/>
                  <w:b w:val="1"/>
                  <w:bCs w:val="1"/>
                  <w:u w:val="single"/>
                </w:rPr>
                <w:t xml:space="preserve">Cession d'actions : dol et restitution en valeur</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2006, 01, pp.66</w:t>
            </w:r>
          </w:p>
          <w:p>
            <w:pPr/>
            <w:r>
              <w:rPr/>
              <w:t xml:space="preserve">Article dans une revue</w:t>
            </w:r>
          </w:p>
          <w:p>
            <w:pPr/>
            <w:hyperlink r:id="rId53" w:history="1">
              <w:r>
                <w:rPr>
                  <w:color w:val="#410a8c"/>
                  <w:u w:val="single"/>
                </w:rPr>
                <w:t xml:space="preserve">halshs-02239280v1</w:t>
              </w:r>
            </w:hyperlink>
          </w:p>
        </w:tc>
      </w:tr>
      <w:tr>
        <w:trPr/>
        <w:tc>
          <w:tcPr>
            <w:noWrap/>
          </w:tcPr>
          <w:p>
            <w:pPr>
              <w:spacing w:after="200"/>
            </w:pPr>
            <w:hyperlink r:id="rId54" w:history="1">
              <w:r>
                <w:rPr>
                  <w:color w:val="1e198e"/>
                  <w:b w:val="1"/>
                  <w:bCs w:val="1"/>
                  <w:u w:val="single"/>
                </w:rPr>
                <w:t xml:space="preserve">L'obligation de contracter de bonne foi s'invite dans la cession d'actions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2005, 03, pp.587</w:t>
            </w:r>
          </w:p>
          <w:p>
            <w:pPr/>
            <w:r>
              <w:rPr/>
              <w:t xml:space="preserve">Article dans une revue</w:t>
            </w:r>
          </w:p>
          <w:p>
            <w:pPr/>
            <w:hyperlink r:id="rId54" w:history="1">
              <w:r>
                <w:rPr>
                  <w:color w:val="#410a8c"/>
                  <w:u w:val="single"/>
                </w:rPr>
                <w:t xml:space="preserve">halshs-02239240v1</w:t>
              </w:r>
            </w:hyperlink>
          </w:p>
        </w:tc>
      </w:tr>
      <w:tr>
        <w:trPr/>
        <w:tc>
          <w:tcPr>
            <w:noWrap/>
          </w:tcPr>
          <w:p>
            <w:pPr>
              <w:spacing w:after="200"/>
            </w:pPr>
            <w:hyperlink r:id="rId55" w:history="1">
              <w:r>
                <w:rPr>
                  <w:color w:val="1e198e"/>
                  <w:b w:val="1"/>
                  <w:bCs w:val="1"/>
                  <w:u w:val="single"/>
                </w:rPr>
                <w:t xml:space="preserve">Cession de droits sociaux : retour sur la rupture de pourparlers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2004, 02, pp.325</w:t>
            </w:r>
          </w:p>
          <w:p>
            <w:pPr/>
            <w:r>
              <w:rPr/>
              <w:t xml:space="preserve">Article dans une revue</w:t>
            </w:r>
          </w:p>
          <w:p>
            <w:pPr/>
            <w:hyperlink r:id="rId55" w:history="1">
              <w:r>
                <w:rPr>
                  <w:color w:val="#410a8c"/>
                  <w:u w:val="single"/>
                </w:rPr>
                <w:t xml:space="preserve">halshs-02239151v1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Clauses noires (restrictions caractérisées) et clauses rouges (restrictions exclues)</w:t>
              </w:r>
            </w:hyperlink>
          </w:p>
          <w:p>
            <w:pPr/>
            <w:hyperlink r:id="rId10" w:history="1">
              <w:r>
                <w:rPr>
                  <w:color w:val="#410a8c"/>
                  <w:u w:val="single"/>
                </w:rPr>
                <w:t xml:space="preserve">Nicolas Mathey</w:t>
              </w:r>
            </w:hyperlink>
          </w:p>
          <w:p>
            <w:pPr/>
            <w:r>
              <w:rPr/>
              <w:t xml:space="preserve">Muriel Chagny, Emmanuel Combe. </w:t>
            </w:r>
            <w:r>
              <w:rPr>
                <w:i w:val="1"/>
                <w:iCs w:val="1"/>
              </w:rPr>
              <w:t xml:space="preserve">Dictionnaire de la Concurrence</w:t>
            </w:r>
            <w:r>
              <w:rPr/>
              <w:t xml:space="preserve">, Concurrences, 2023, 9,79109E+12</w:t>
            </w:r>
          </w:p>
          <w:p>
            <w:pPr/>
            <w:r>
              <w:rPr/>
              <w:t xml:space="preserve">Chapitre d'ouvrage</w:t>
            </w:r>
          </w:p>
          <w:p>
            <w:pPr/>
            <w:hyperlink r:id="rId56" w:history="1">
              <w:r>
                <w:rPr>
                  <w:color w:val="#410a8c"/>
                  <w:u w:val="single"/>
                </w:rPr>
                <w:t xml:space="preserve">halshs-04139859v1</w:t>
              </w:r>
            </w:hyperlink>
          </w:p>
        </w:tc>
      </w:tr>
      <w:tr>
        <w:trPr/>
        <w:tc>
          <w:tcPr>
            <w:noWrap/>
          </w:tcPr>
          <w:p>
            <w:pPr>
              <w:spacing w:after="200"/>
            </w:pPr>
            <w:hyperlink r:id="rId57" w:history="1">
              <w:r>
                <w:rPr>
                  <w:color w:val="1e198e"/>
                  <w:b w:val="1"/>
                  <w:bCs w:val="1"/>
                  <w:u w:val="single"/>
                </w:rPr>
                <w:t xml:space="preserve">La transmission de la responsabilité pénale des personnes morales</w:t>
              </w:r>
            </w:hyperlink>
          </w:p>
          <w:p>
            <w:pPr/>
            <w:hyperlink r:id="rId10" w:history="1">
              <w:r>
                <w:rPr>
                  <w:color w:val="#410a8c"/>
                  <w:u w:val="single"/>
                </w:rPr>
                <w:t xml:space="preserve">Nicolas Mathey</w:t>
              </w:r>
            </w:hyperlink>
          </w:p>
          <w:p>
            <w:pPr/>
            <w:r>
              <w:rPr/>
              <w:t xml:space="preserve">Pierre-Henri Conac, Bénédicte François, Laurent Godon, Benoit Lecourt, Dominique Legeais, Hervé Le Nabasque, Nathalie Martial-Braz. </w:t>
            </w:r>
            <w:r>
              <w:rPr>
                <w:i w:val="1"/>
                <w:iCs w:val="1"/>
              </w:rPr>
              <w:t xml:space="preserve">Mélanges en l'honneur d'Isabelle Urbain-Parléani</w:t>
            </w:r>
            <w:r>
              <w:rPr/>
              <w:t xml:space="preserve">, Dalloz, pp.301, 2023, 9,78225E+12</w:t>
            </w:r>
          </w:p>
          <w:p>
            <w:pPr/>
            <w:r>
              <w:rPr/>
              <w:t xml:space="preserve">Chapitre d'ouvrage</w:t>
            </w:r>
          </w:p>
          <w:p>
            <w:pPr/>
            <w:hyperlink r:id="rId57" w:history="1">
              <w:r>
                <w:rPr>
                  <w:color w:val="#410a8c"/>
                  <w:u w:val="single"/>
                </w:rPr>
                <w:t xml:space="preserve">halshs-04139856v1</w:t>
              </w:r>
            </w:hyperlink>
          </w:p>
        </w:tc>
      </w:tr>
      <w:tr>
        <w:trPr/>
        <w:tc>
          <w:tcPr>
            <w:noWrap/>
          </w:tcPr>
          <w:p>
            <w:pPr>
              <w:spacing w:after="200"/>
            </w:pPr>
            <w:hyperlink r:id="rId58" w:history="1">
              <w:r>
                <w:rPr>
                  <w:color w:val="1e198e"/>
                  <w:b w:val="1"/>
                  <w:bCs w:val="1"/>
                  <w:u w:val="single"/>
                </w:rPr>
                <w:t xml:space="preserve">Annotation du Livre I, titre I et titre IV</w:t>
              </w:r>
            </w:hyperlink>
          </w:p>
          <w:p>
            <w:pPr/>
            <w:hyperlink r:id="rId10" w:history="1">
              <w:r>
                <w:rPr>
                  <w:color w:val="#410a8c"/>
                  <w:u w:val="single"/>
                </w:rPr>
                <w:t xml:space="preserve">Nicolas Mathey</w:t>
              </w:r>
            </w:hyperlink>
          </w:p>
          <w:p>
            <w:pPr/>
            <w:r>
              <w:rPr/>
              <w:t xml:space="preserve">Laurent Leveneur. </w:t>
            </w:r>
            <w:r>
              <w:rPr>
                <w:i w:val="1"/>
                <w:iCs w:val="1"/>
              </w:rPr>
              <w:t xml:space="preserve">Code de la consommation - Édition 2023</w:t>
            </w:r>
            <w:r>
              <w:rPr/>
              <w:t xml:space="preserve">, LexisNexis, 2022, 9,78271E+12</w:t>
            </w:r>
          </w:p>
          <w:p>
            <w:pPr/>
            <w:r>
              <w:rPr/>
              <w:t xml:space="preserve">Chapitre d'ouvrage</w:t>
            </w:r>
          </w:p>
          <w:p>
            <w:pPr/>
            <w:hyperlink r:id="rId58" w:history="1">
              <w:r>
                <w:rPr>
                  <w:color w:val="#410a8c"/>
                  <w:u w:val="single"/>
                </w:rPr>
                <w:t xml:space="preserve">halshs-04139857v1</w:t>
              </w:r>
            </w:hyperlink>
          </w:p>
        </w:tc>
      </w:tr>
      <w:tr>
        <w:trPr/>
        <w:tc>
          <w:tcPr>
            <w:noWrap/>
          </w:tcPr>
          <w:p>
            <w:pPr>
              <w:spacing w:after="200"/>
            </w:pPr>
            <w:hyperlink r:id="rId59" w:history="1">
              <w:r>
                <w:rPr>
                  <w:color w:val="1e198e"/>
                  <w:b w:val="1"/>
                  <w:bCs w:val="1"/>
                  <w:u w:val="single"/>
                </w:rPr>
                <w:t xml:space="preserve">La responsabilité civile du banquier aujourd'hui : Observations conclusives</w:t>
              </w:r>
            </w:hyperlink>
          </w:p>
          <w:p>
            <w:pPr/>
            <w:hyperlink r:id="rId10" w:history="1">
              <w:r>
                <w:rPr>
                  <w:color w:val="#410a8c"/>
                  <w:u w:val="single"/>
                </w:rPr>
                <w:t xml:space="preserve">Nicolas Mathey</w:t>
              </w:r>
            </w:hyperlink>
          </w:p>
          <w:p>
            <w:pPr/>
            <w:r>
              <w:rPr/>
              <w:t xml:space="preserve">Jérôme Lasserre Capdeville. </w:t>
            </w:r>
            <w:r>
              <w:rPr>
                <w:i w:val="1"/>
                <w:iCs w:val="1"/>
              </w:rPr>
              <w:t xml:space="preserve">La responsabilité civile du banquier aujourd’hui</w:t>
            </w:r>
            <w:r>
              <w:rPr/>
              <w:t xml:space="preserve">, LexisNexis, pp.269, 2022, 9,78271E+12</w:t>
            </w:r>
          </w:p>
          <w:p>
            <w:pPr/>
            <w:r>
              <w:rPr/>
              <w:t xml:space="preserve">Chapitre d'ouvrage</w:t>
            </w:r>
          </w:p>
          <w:p>
            <w:pPr/>
            <w:hyperlink r:id="rId59" w:history="1">
              <w:r>
                <w:rPr>
                  <w:color w:val="#410a8c"/>
                  <w:u w:val="single"/>
                </w:rPr>
                <w:t xml:space="preserve">halshs-04139858v1</w:t>
              </w:r>
            </w:hyperlink>
          </w:p>
        </w:tc>
      </w:tr>
      <w:tr>
        <w:trPr/>
        <w:tc>
          <w:tcPr>
            <w:noWrap/>
          </w:tcPr>
          <w:p>
            <w:pPr>
              <w:spacing w:after="200"/>
            </w:pPr>
            <w:hyperlink r:id="rId60" w:history="1">
              <w:r>
                <w:rPr>
                  <w:color w:val="1e198e"/>
                  <w:b w:val="1"/>
                  <w:bCs w:val="1"/>
                  <w:u w:val="single"/>
                </w:rPr>
                <w:t xml:space="preserve">L’article 353 du Code pénal et autres romans de Tanguy Viel : un Finistère policier</w:t>
              </w:r>
            </w:hyperlink>
          </w:p>
          <w:p>
            <w:pPr/>
            <w:hyperlink r:id="rId10" w:history="1">
              <w:r>
                <w:rPr>
                  <w:color w:val="#410a8c"/>
                  <w:u w:val="single"/>
                </w:rPr>
                <w:t xml:space="preserve">Nicolas Mathey</w:t>
              </w:r>
            </w:hyperlink>
          </w:p>
          <w:p>
            <w:pPr/>
            <w:r>
              <w:rPr/>
              <w:t xml:space="preserve">Pierre Bonin, Laetitia Guerlain. </w:t>
            </w:r>
            <w:r>
              <w:rPr>
                <w:i w:val="1"/>
                <w:iCs w:val="1"/>
              </w:rPr>
              <w:t xml:space="preserve">De l'assassinat considéré comme un des arts juridiques</w:t>
            </w:r>
            <w:r>
              <w:rPr/>
              <w:t xml:space="preserve">, Mare &amp; Martin, 2022, 9,78285E+12</w:t>
            </w:r>
          </w:p>
          <w:p>
            <w:pPr/>
            <w:r>
              <w:rPr/>
              <w:t xml:space="preserve">Chapitre d'ouvrage</w:t>
            </w:r>
          </w:p>
          <w:p>
            <w:pPr/>
            <w:hyperlink r:id="rId60" w:history="1">
              <w:r>
                <w:rPr>
                  <w:color w:val="#410a8c"/>
                  <w:u w:val="single"/>
                </w:rPr>
                <w:t xml:space="preserve">halshs-04139862v1</w:t>
              </w:r>
            </w:hyperlink>
          </w:p>
        </w:tc>
      </w:tr>
      <w:tr>
        <w:trPr/>
        <w:tc>
          <w:tcPr>
            <w:noWrap/>
          </w:tcPr>
          <w:p>
            <w:pPr>
              <w:spacing w:after="200"/>
            </w:pPr>
            <w:hyperlink r:id="rId61" w:history="1">
              <w:r>
                <w:rPr>
                  <w:color w:val="1e198e"/>
                  <w:b w:val="1"/>
                  <w:bCs w:val="1"/>
                  <w:u w:val="single"/>
                </w:rPr>
                <w:t xml:space="preserve">L’île dans les contes de fées</w:t>
              </w:r>
            </w:hyperlink>
          </w:p>
          <w:p>
            <w:pPr/>
            <w:hyperlink r:id="rId10" w:history="1">
              <w:r>
                <w:rPr>
                  <w:color w:val="#410a8c"/>
                  <w:u w:val="single"/>
                </w:rPr>
                <w:t xml:space="preserve">Nicolas Mathey</w:t>
              </w:r>
            </w:hyperlink>
          </w:p>
          <w:p>
            <w:pPr/>
            <w:r>
              <w:rPr/>
              <w:t xml:space="preserve">Nicolas Dissaux, Marine Ranouil. </w:t>
            </w:r>
            <w:r>
              <w:rPr>
                <w:i w:val="1"/>
                <w:iCs w:val="1"/>
              </w:rPr>
              <w:t xml:space="preserve">Il était une fois..analyse juridique des contes de fées</w:t>
            </w:r>
            <w:r>
              <w:rPr/>
              <w:t xml:space="preserve">, Dalloz, pp.241, 2018, 9,78225E+12</w:t>
            </w:r>
          </w:p>
          <w:p>
            <w:pPr/>
            <w:r>
              <w:rPr/>
              <w:t xml:space="preserve">Chapitre d'ouvrage</w:t>
            </w:r>
          </w:p>
          <w:p>
            <w:pPr/>
            <w:hyperlink r:id="rId61" w:history="1">
              <w:r>
                <w:rPr>
                  <w:color w:val="#410a8c"/>
                  <w:u w:val="single"/>
                </w:rPr>
                <w:t xml:space="preserve">halshs-04139864v1</w:t>
              </w:r>
            </w:hyperlink>
          </w:p>
        </w:tc>
      </w:tr>
      <w:tr>
        <w:trPr/>
        <w:tc>
          <w:tcPr>
            <w:noWrap/>
          </w:tcPr>
          <w:p>
            <w:pPr>
              <w:spacing w:after="200"/>
            </w:pPr>
            <w:hyperlink r:id="rId62" w:history="1">
              <w:r>
                <w:rPr>
                  <w:color w:val="1e198e"/>
                  <w:b w:val="1"/>
                  <w:bCs w:val="1"/>
                  <w:u w:val="single"/>
                </w:rPr>
                <w:t xml:space="preserve">Se repentir : proroger, transiger…</w:t>
              </w:r>
            </w:hyperlink>
          </w:p>
          <w:p>
            <w:pPr/>
            <w:hyperlink r:id="rId10" w:history="1">
              <w:r>
                <w:rPr>
                  <w:color w:val="#410a8c"/>
                  <w:u w:val="single"/>
                </w:rPr>
                <w:t xml:space="preserve">Nicolas Mathey</w:t>
              </w:r>
            </w:hyperlink>
          </w:p>
          <w:p>
            <w:pPr/>
            <w:r>
              <w:rPr/>
              <w:t xml:space="preserve">Collectif. </w:t>
            </w:r>
            <w:r>
              <w:rPr>
                <w:i w:val="1"/>
                <w:iCs w:val="1"/>
              </w:rPr>
              <w:t xml:space="preserve">Flux et reflux de la rupture d'une relation commerciale - Application de l'article L.442-6, I, 5° du Code de commerce : excès constatés et modérations possibles. Actes du colloque tenu le 27 novembre 2017 à la Faculté de Droit et Science Politique de Montpellier</w:t>
            </w:r>
            <w:r>
              <w:rPr/>
              <w:t xml:space="preserve">, LexisNexis, 2018, 9,78271E+12</w:t>
            </w:r>
          </w:p>
          <w:p>
            <w:pPr/>
            <w:r>
              <w:rPr/>
              <w:t xml:space="preserve">Chapitre d'ouvrage</w:t>
            </w:r>
          </w:p>
          <w:p>
            <w:pPr/>
            <w:hyperlink r:id="rId62" w:history="1">
              <w:r>
                <w:rPr>
                  <w:color w:val="#410a8c"/>
                  <w:u w:val="single"/>
                </w:rPr>
                <w:t xml:space="preserve">halshs-04139861v1</w:t>
              </w:r>
            </w:hyperlink>
          </w:p>
        </w:tc>
      </w:tr>
      <w:tr>
        <w:trPr/>
        <w:tc>
          <w:tcPr>
            <w:noWrap/>
          </w:tcPr>
          <w:p>
            <w:pPr>
              <w:spacing w:after="200"/>
            </w:pPr>
            <w:hyperlink r:id="rId63" w:history="1">
              <w:r>
                <w:rPr>
                  <w:color w:val="1e198e"/>
                  <w:b w:val="1"/>
                  <w:bCs w:val="1"/>
                  <w:u w:val="single"/>
                </w:rPr>
                <w:t xml:space="preserve">Lecture des Lettres de François Gény à Raymond Saleilles : correspondance établie</w:t>
              </w:r>
            </w:hyperlink>
          </w:p>
          <w:p>
            <w:pPr/>
            <w:hyperlink r:id="rId10" w:history="1">
              <w:r>
                <w:rPr>
                  <w:color w:val="#410a8c"/>
                  <w:u w:val="single"/>
                </w:rPr>
                <w:t xml:space="preserve">Nicolas Mathey</w:t>
              </w:r>
            </w:hyperlink>
          </w:p>
          <w:p>
            <w:pPr/>
            <w:r>
              <w:rPr/>
              <w:t xml:space="preserve">Christophe Jamin, Frédéric Audren, Sylvain Bloquet. </w:t>
            </w:r>
            <w:r>
              <w:rPr>
                <w:i w:val="1"/>
                <w:iCs w:val="1"/>
              </w:rPr>
              <w:t xml:space="preserve">Lettres de François Gény à Raymond Saleilles</w:t>
            </w:r>
            <w:r>
              <w:rPr/>
              <w:t xml:space="preserve">, LGDJ, pp.639, 2018, 9,78228E+12</w:t>
            </w:r>
          </w:p>
          <w:p>
            <w:pPr/>
            <w:r>
              <w:rPr/>
              <w:t xml:space="preserve">Chapitre d'ouvrage</w:t>
            </w:r>
          </w:p>
          <w:p>
            <w:pPr/>
            <w:hyperlink r:id="rId63" w:history="1">
              <w:r>
                <w:rPr>
                  <w:color w:val="#410a8c"/>
                  <w:u w:val="single"/>
                </w:rPr>
                <w:t xml:space="preserve">halshs-04139865v1</w:t>
              </w:r>
            </w:hyperlink>
          </w:p>
        </w:tc>
      </w:tr>
      <w:tr>
        <w:trPr/>
        <w:tc>
          <w:tcPr>
            <w:noWrap/>
          </w:tcPr>
          <w:p>
            <w:pPr>
              <w:spacing w:after="200"/>
            </w:pPr>
            <w:hyperlink r:id="rId64" w:history="1">
              <w:r>
                <w:rPr>
                  <w:color w:val="1e198e"/>
                  <w:b w:val="1"/>
                  <w:bCs w:val="1"/>
                  <w:u w:val="single"/>
                </w:rPr>
                <w:t xml:space="preserve">La publicisation du droit privé dans la pensée juridique française. A propos d’une crise doctrinale (1945-1952)</w:t>
              </w:r>
            </w:hyperlink>
          </w:p>
          <w:p>
            <w:pPr/>
            <w:hyperlink r:id="rId10" w:history="1">
              <w:r>
                <w:rPr>
                  <w:color w:val="#410a8c"/>
                  <w:u w:val="single"/>
                </w:rPr>
                <w:t xml:space="preserve">Nicolas Mathey</w:t>
              </w:r>
            </w:hyperlink>
          </w:p>
          <w:p>
            <w:pPr/>
            <w:r>
              <w:rPr/>
              <w:t xml:space="preserve">Paolo Alvazzi Del Frate, Sylvain Bloquet, Arnaud Vergne. </w:t>
            </w:r>
            <w:r>
              <w:rPr>
                <w:i w:val="1"/>
                <w:iCs w:val="1"/>
              </w:rPr>
              <w:t xml:space="preserve">La summa divisio droit public / droit privé dans l'histoire des systèmes juridiques en Europe (XIXe-XXIe siècles)</w:t>
            </w:r>
            <w:r>
              <w:rPr/>
              <w:t xml:space="preserve">, Institut Universitaire Varenne, pp.209, 2018, 9,78237E+12</w:t>
            </w:r>
          </w:p>
          <w:p>
            <w:pPr/>
            <w:r>
              <w:rPr/>
              <w:t xml:space="preserve">Chapitre d'ouvrage</w:t>
            </w:r>
          </w:p>
          <w:p>
            <w:pPr/>
            <w:hyperlink r:id="rId64" w:history="1">
              <w:r>
                <w:rPr>
                  <w:color w:val="#410a8c"/>
                  <w:u w:val="single"/>
                </w:rPr>
                <w:t xml:space="preserve">halshs-04139863v1</w:t>
              </w:r>
            </w:hyperlink>
          </w:p>
        </w:tc>
      </w:tr>
      <w:tr>
        <w:trPr/>
        <w:tc>
          <w:tcPr>
            <w:noWrap/>
          </w:tcPr>
          <w:p>
            <w:pPr>
              <w:spacing w:after="200"/>
            </w:pPr>
            <w:hyperlink r:id="rId65" w:history="1">
              <w:r>
                <w:rPr>
                  <w:color w:val="1e198e"/>
                  <w:b w:val="1"/>
                  <w:bCs w:val="1"/>
                  <w:u w:val="single"/>
                </w:rPr>
                <w:t xml:space="preserve">L’immixtion des plateformes dans les contrats - L’uberisation et le droit des contrats</w:t>
              </w:r>
            </w:hyperlink>
          </w:p>
          <w:p>
            <w:pPr/>
            <w:hyperlink r:id="rId10" w:history="1">
              <w:r>
                <w:rPr>
                  <w:color w:val="#410a8c"/>
                  <w:u w:val="single"/>
                </w:rPr>
                <w:t xml:space="preserve">Nicolas Mathey</w:t>
              </w:r>
            </w:hyperlink>
          </w:p>
          <w:p>
            <w:pPr/>
            <w:r>
              <w:rPr>
                <w:i w:val="1"/>
                <w:iCs w:val="1"/>
              </w:rPr>
              <w:t xml:space="preserve">Le droit civil à l’ère du numérique. Actes du colloque du Master 2 Droit privé général et du Laboratoire de droit civil - Paris II - 21 avril 2017</w:t>
            </w:r>
            <w:r>
              <w:rPr/>
              <w:t xml:space="preserve">, LexisNexis, pp.9, 2017</w:t>
            </w:r>
          </w:p>
          <w:p>
            <w:pPr/>
            <w:r>
              <w:rPr/>
              <w:t xml:space="preserve">Chapitre d'ouvrage</w:t>
            </w:r>
          </w:p>
          <w:p>
            <w:pPr/>
            <w:hyperlink r:id="rId65" w:history="1">
              <w:r>
                <w:rPr>
                  <w:color w:val="#410a8c"/>
                  <w:u w:val="single"/>
                </w:rPr>
                <w:t xml:space="preserve">halshs-04139837v1</w:t>
              </w:r>
            </w:hyperlink>
          </w:p>
        </w:tc>
      </w:tr>
      <w:tr>
        <w:trPr/>
        <w:tc>
          <w:tcPr>
            <w:noWrap/>
          </w:tcPr>
          <w:p>
            <w:pPr>
              <w:spacing w:after="200"/>
            </w:pPr>
            <w:hyperlink r:id="rId66" w:history="1">
              <w:r>
                <w:rPr>
                  <w:color w:val="1e198e"/>
                  <w:b w:val="1"/>
                  <w:bCs w:val="1"/>
                  <w:u w:val="single"/>
                </w:rPr>
                <w:t xml:space="preserve">La protection des créanciers de l’établissement de crédit en difficulté dans le cadre des procédures judiciaires</w:t>
              </w:r>
            </w:hyperlink>
          </w:p>
          <w:p>
            <w:pPr/>
            <w:hyperlink r:id="rId10" w:history="1">
              <w:r>
                <w:rPr>
                  <w:color w:val="#410a8c"/>
                  <w:u w:val="single"/>
                </w:rPr>
                <w:t xml:space="preserve">Nicolas Mathey</w:t>
              </w:r>
            </w:hyperlink>
          </w:p>
          <w:p>
            <w:pPr/>
            <w:r>
              <w:rPr/>
              <w:t xml:space="preserve">François Barrière. </w:t>
            </w:r>
            <w:r>
              <w:rPr>
                <w:i w:val="1"/>
                <w:iCs w:val="1"/>
              </w:rPr>
              <w:t xml:space="preserve">Le traitement des difficultés des établissements bancaire et institutions financières - Approche croisée</w:t>
            </w:r>
            <w:r>
              <w:rPr/>
              <w:t xml:space="preserve">, LexisNexis, pp.281, 2017, 9,78271E+12</w:t>
            </w:r>
          </w:p>
          <w:p>
            <w:pPr/>
            <w:r>
              <w:rPr/>
              <w:t xml:space="preserve">Chapitre d'ouvrage</w:t>
            </w:r>
          </w:p>
          <w:p>
            <w:pPr/>
            <w:hyperlink r:id="rId66" w:history="1">
              <w:r>
                <w:rPr>
                  <w:color w:val="#410a8c"/>
                  <w:u w:val="single"/>
                </w:rPr>
                <w:t xml:space="preserve">halshs-04139860v1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Droit bancaire, 2e édition</w:t>
              </w:r>
            </w:hyperlink>
          </w:p>
          <w:p>
            <w:pPr/>
            <w:hyperlink r:id="rId10" w:history="1">
              <w:r>
                <w:rPr>
                  <w:color w:val="#410a8c"/>
                  <w:u w:val="single"/>
                </w:rPr>
                <w:t xml:space="preserve">Nicolas Mathey</w:t>
              </w:r>
            </w:hyperlink>
            <w:r>
              <w:rPr/>
              <w:t xml:space="preserve">,</w:t>
            </w:r>
            <w:hyperlink r:id="rId68" w:history="1">
              <w:r>
                <w:rPr>
                  <w:color w:val="#410a8c"/>
                  <w:u w:val="single"/>
                </w:rPr>
                <w:t xml:space="preserve">Hervé Causse</w:t>
              </w:r>
            </w:hyperlink>
            <w:r>
              <w:rPr/>
              <w:t xml:space="preserve">,</w:t>
            </w:r>
            <w:hyperlink r:id="rId69" w:history="1">
              <w:r>
                <w:rPr>
                  <w:color w:val="#410a8c"/>
                  <w:u w:val="single"/>
                </w:rPr>
                <w:t xml:space="preserve">Jean-François Riffard</w:t>
              </w:r>
            </w:hyperlink>
          </w:p>
          <w:p>
            <w:pPr/>
            <w:r>
              <w:rPr/>
              <w:t xml:space="preserve">LexisNexis. , 220 p., 2023, coll. "Objectifs droit", 978-2711037490</w:t>
            </w:r>
          </w:p>
          <w:p>
            <w:pPr/>
            <w:r>
              <w:rPr/>
              <w:t xml:space="preserve">Ouvrages</w:t>
            </w:r>
            <w:r>
              <w:rPr/>
              <w:t xml:space="preserve"> (manuel)</w:t>
            </w:r>
          </w:p>
          <w:p>
            <w:pPr/>
            <w:hyperlink r:id="rId67" w:history="1">
              <w:r>
                <w:rPr>
                  <w:color w:val="#410a8c"/>
                  <w:u w:val="single"/>
                </w:rPr>
                <w:t xml:space="preserve">halshs-04139818v1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Fascicule 12 : L'équilibre des relations commerciales dans le secteur agricole et alimentaire</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0" w:history="1">
              <w:r>
                <w:rPr>
                  <w:color w:val="#410a8c"/>
                  <w:u w:val="single"/>
                </w:rPr>
                <w:t xml:space="preserve">halshs-04139869v1</w:t>
              </w:r>
            </w:hyperlink>
          </w:p>
        </w:tc>
      </w:tr>
      <w:tr>
        <w:trPr/>
        <w:tc>
          <w:tcPr>
            <w:noWrap/>
          </w:tcPr>
          <w:p>
            <w:pPr>
              <w:spacing w:after="200"/>
            </w:pPr>
            <w:hyperlink r:id="rId71" w:history="1">
              <w:r>
                <w:rPr>
                  <w:color w:val="1e198e"/>
                  <w:b w:val="1"/>
                  <w:bCs w:val="1"/>
                  <w:u w:val="single"/>
                </w:rPr>
                <w:t xml:space="preserve">Synthèse - Contrats de services et mise à disposition</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1" w:history="1">
              <w:r>
                <w:rPr>
                  <w:color w:val="#410a8c"/>
                  <w:u w:val="single"/>
                </w:rPr>
                <w:t xml:space="preserve">halshs-04139870v1</w:t>
              </w:r>
            </w:hyperlink>
          </w:p>
        </w:tc>
      </w:tr>
      <w:tr>
        <w:trPr/>
        <w:tc>
          <w:tcPr>
            <w:noWrap/>
          </w:tcPr>
          <w:p>
            <w:pPr>
              <w:spacing w:after="200"/>
            </w:pPr>
            <w:hyperlink r:id="rId72" w:history="1">
              <w:r>
                <w:rPr>
                  <w:color w:val="1e198e"/>
                  <w:b w:val="1"/>
                  <w:bCs w:val="1"/>
                  <w:u w:val="single"/>
                </w:rPr>
                <w:t xml:space="preserve">Synthèse - Effets de commerce</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2" w:history="1">
              <w:r>
                <w:rPr>
                  <w:color w:val="#410a8c"/>
                  <w:u w:val="single"/>
                </w:rPr>
                <w:t xml:space="preserve">halshs-04139927v1</w:t>
              </w:r>
            </w:hyperlink>
          </w:p>
        </w:tc>
      </w:tr>
      <w:tr>
        <w:trPr/>
        <w:tc>
          <w:tcPr>
            <w:noWrap/>
          </w:tcPr>
          <w:p>
            <w:pPr>
              <w:spacing w:after="200"/>
            </w:pPr>
            <w:hyperlink r:id="rId73" w:history="1">
              <w:r>
                <w:rPr>
                  <w:color w:val="1e198e"/>
                  <w:b w:val="1"/>
                  <w:bCs w:val="1"/>
                  <w:u w:val="single"/>
                </w:rPr>
                <w:t xml:space="preserve">Art. 2377 à 2386 - Fascicule 20 : Privilèges – Transmission</w:t>
              </w:r>
            </w:hyperlink>
          </w:p>
          <w:p>
            <w:pPr/>
            <w:hyperlink r:id="rId10" w:history="1">
              <w:r>
                <w:rPr>
                  <w:color w:val="#410a8c"/>
                  <w:u w:val="single"/>
                </w:rPr>
                <w:t xml:space="preserve">Nicolas Mathey</w:t>
              </w:r>
            </w:hyperlink>
          </w:p>
          <w:p>
            <w:pPr/>
            <w:r>
              <w:rPr/>
              <w:t xml:space="preserve">2021</w:t>
            </w:r>
          </w:p>
          <w:p>
            <w:pPr/>
            <w:r>
              <w:rPr/>
              <w:t xml:space="preserve">Autre publication scientifique</w:t>
            </w:r>
          </w:p>
          <w:p>
            <w:pPr/>
            <w:hyperlink r:id="rId73" w:history="1">
              <w:r>
                <w:rPr>
                  <w:color w:val="#410a8c"/>
                  <w:u w:val="single"/>
                </w:rPr>
                <w:t xml:space="preserve">halshs-04139877v1</w:t>
              </w:r>
            </w:hyperlink>
          </w:p>
        </w:tc>
      </w:tr>
      <w:tr>
        <w:trPr/>
        <w:tc>
          <w:tcPr>
            <w:noWrap/>
          </w:tcPr>
          <w:p>
            <w:pPr>
              <w:spacing w:after="200"/>
            </w:pPr>
            <w:hyperlink r:id="rId74" w:history="1">
              <w:r>
                <w:rPr>
                  <w:color w:val="1e198e"/>
                  <w:b w:val="1"/>
                  <w:bCs w:val="1"/>
                  <w:u w:val="single"/>
                </w:rPr>
                <w:t xml:space="preserve">Synthèse - Mandat commercial et contrats voisins</w:t>
              </w:r>
            </w:hyperlink>
          </w:p>
          <w:p>
            <w:pPr/>
            <w:hyperlink r:id="rId10" w:history="1">
              <w:r>
                <w:rPr>
                  <w:color w:val="#410a8c"/>
                  <w:u w:val="single"/>
                </w:rPr>
                <w:t xml:space="preserve">Nicolas Mathey</w:t>
              </w:r>
            </w:hyperlink>
          </w:p>
          <w:p>
            <w:pPr/>
            <w:r>
              <w:rPr/>
              <w:t xml:space="preserve">2021</w:t>
            </w:r>
          </w:p>
          <w:p>
            <w:pPr/>
            <w:r>
              <w:rPr/>
              <w:t xml:space="preserve">Autre publication scientifique</w:t>
            </w:r>
          </w:p>
          <w:p>
            <w:pPr/>
            <w:hyperlink r:id="rId74" w:history="1">
              <w:r>
                <w:rPr>
                  <w:color w:val="#410a8c"/>
                  <w:u w:val="single"/>
                </w:rPr>
                <w:t xml:space="preserve">halshs-04139871v1</w:t>
              </w:r>
            </w:hyperlink>
          </w:p>
        </w:tc>
      </w:tr>
      <w:tr>
        <w:trPr/>
        <w:tc>
          <w:tcPr>
            <w:noWrap/>
          </w:tcPr>
          <w:p>
            <w:pPr>
              <w:spacing w:after="200"/>
            </w:pPr>
            <w:hyperlink r:id="rId75" w:history="1">
              <w:r>
                <w:rPr>
                  <w:color w:val="1e198e"/>
                  <w:b w:val="1"/>
                  <w:bCs w:val="1"/>
                  <w:u w:val="single"/>
                </w:rPr>
                <w:t xml:space="preserve">Fascicule 440 : Lettre de change – Paiement</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5" w:history="1">
              <w:r>
                <w:rPr>
                  <w:color w:val="#410a8c"/>
                  <w:u w:val="single"/>
                </w:rPr>
                <w:t xml:space="preserve">halshs-04139929v1</w:t>
              </w:r>
            </w:hyperlink>
          </w:p>
        </w:tc>
      </w:tr>
      <w:tr>
        <w:trPr/>
        <w:tc>
          <w:tcPr>
            <w:noWrap/>
          </w:tcPr>
          <w:p>
            <w:pPr>
              <w:spacing w:after="200"/>
            </w:pPr>
            <w:hyperlink r:id="rId76" w:history="1">
              <w:r>
                <w:rPr>
                  <w:color w:val="1e198e"/>
                  <w:b w:val="1"/>
                  <w:bCs w:val="1"/>
                  <w:u w:val="single"/>
                </w:rPr>
                <w:t xml:space="preserve">Fascicule 100 : Forme des contrats</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6" w:history="1">
              <w:r>
                <w:rPr>
                  <w:color w:val="#410a8c"/>
                  <w:u w:val="single"/>
                </w:rPr>
                <w:t xml:space="preserve">halshs-04139883v1</w:t>
              </w:r>
            </w:hyperlink>
          </w:p>
        </w:tc>
      </w:tr>
      <w:tr>
        <w:trPr/>
        <w:tc>
          <w:tcPr>
            <w:noWrap/>
          </w:tcPr>
          <w:p>
            <w:pPr>
              <w:spacing w:after="200"/>
            </w:pPr>
            <w:hyperlink r:id="rId77" w:history="1">
              <w:r>
                <w:rPr>
                  <w:color w:val="1e198e"/>
                  <w:b w:val="1"/>
                  <w:bCs w:val="1"/>
                  <w:u w:val="single"/>
                </w:rPr>
                <w:t xml:space="preserve">Fascicule 2710 : Affacturage</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7" w:history="1">
              <w:r>
                <w:rPr>
                  <w:color w:val="#410a8c"/>
                  <w:u w:val="single"/>
                </w:rPr>
                <w:t xml:space="preserve">halshs-04139928v1</w:t>
              </w:r>
            </w:hyperlink>
          </w:p>
        </w:tc>
      </w:tr>
      <w:tr>
        <w:trPr/>
        <w:tc>
          <w:tcPr>
            <w:noWrap/>
          </w:tcPr>
          <w:p>
            <w:pPr>
              <w:spacing w:after="200"/>
            </w:pPr>
            <w:hyperlink r:id="rId78" w:history="1">
              <w:r>
                <w:rPr>
                  <w:color w:val="1e198e"/>
                  <w:b w:val="1"/>
                  <w:bCs w:val="1"/>
                  <w:u w:val="single"/>
                </w:rPr>
                <w:t xml:space="preserve">Fascicule 25 : Période précontractuelle – Offre. Acceptation</w:t>
              </w:r>
            </w:hyperlink>
          </w:p>
          <w:p>
            <w:pPr/>
            <w:hyperlink r:id="rId10" w:history="1">
              <w:r>
                <w:rPr>
                  <w:color w:val="#410a8c"/>
                  <w:u w:val="single"/>
                </w:rPr>
                <w:t xml:space="preserve">Nicolas Mathey</w:t>
              </w:r>
            </w:hyperlink>
          </w:p>
          <w:p>
            <w:pPr/>
            <w:r>
              <w:rPr/>
              <w:t xml:space="preserve">2019</w:t>
            </w:r>
          </w:p>
          <w:p>
            <w:pPr/>
            <w:r>
              <w:rPr/>
              <w:t xml:space="preserve">Autre publication scientifique</w:t>
            </w:r>
          </w:p>
          <w:p>
            <w:pPr/>
            <w:hyperlink r:id="rId78" w:history="1">
              <w:r>
                <w:rPr>
                  <w:color w:val="#410a8c"/>
                  <w:u w:val="single"/>
                </w:rPr>
                <w:t xml:space="preserve">halshs-04139889v1</w:t>
              </w:r>
            </w:hyperlink>
          </w:p>
        </w:tc>
      </w:tr>
      <w:tr>
        <w:trPr/>
        <w:tc>
          <w:tcPr>
            <w:noWrap/>
          </w:tcPr>
          <w:p>
            <w:pPr>
              <w:spacing w:after="200"/>
            </w:pPr>
            <w:hyperlink r:id="rId79" w:history="1">
              <w:r>
                <w:rPr>
                  <w:color w:val="1e198e"/>
                  <w:b w:val="1"/>
                  <w:bCs w:val="1"/>
                  <w:u w:val="single"/>
                </w:rPr>
                <w:t xml:space="preserve">Fascicule 20 : Période précontractuelle – Les négociations</w:t>
              </w:r>
            </w:hyperlink>
          </w:p>
          <w:p>
            <w:pPr/>
            <w:hyperlink r:id="rId10" w:history="1">
              <w:r>
                <w:rPr>
                  <w:color w:val="#410a8c"/>
                  <w:u w:val="single"/>
                </w:rPr>
                <w:t xml:space="preserve">Nicolas Mathey</w:t>
              </w:r>
            </w:hyperlink>
          </w:p>
          <w:p>
            <w:pPr/>
            <w:r>
              <w:rPr/>
              <w:t xml:space="preserve">2019</w:t>
            </w:r>
          </w:p>
          <w:p>
            <w:pPr/>
            <w:r>
              <w:rPr/>
              <w:t xml:space="preserve">Autre publication scientifique</w:t>
            </w:r>
          </w:p>
          <w:p>
            <w:pPr/>
            <w:hyperlink r:id="rId79" w:history="1">
              <w:r>
                <w:rPr>
                  <w:color w:val="#410a8c"/>
                  <w:u w:val="single"/>
                </w:rPr>
                <w:t xml:space="preserve">halshs-04139900v1</w:t>
              </w:r>
            </w:hyperlink>
          </w:p>
        </w:tc>
      </w:tr>
      <w:tr>
        <w:trPr/>
        <w:tc>
          <w:tcPr>
            <w:noWrap/>
          </w:tcPr>
          <w:p>
            <w:pPr>
              <w:spacing w:after="200"/>
            </w:pPr>
            <w:hyperlink r:id="rId80" w:history="1">
              <w:r>
                <w:rPr>
                  <w:color w:val="1e198e"/>
                  <w:b w:val="1"/>
                  <w:bCs w:val="1"/>
                  <w:u w:val="single"/>
                </w:rPr>
                <w:t xml:space="preserve">Fascicule 490 : Billet à ordre</w:t>
              </w:r>
            </w:hyperlink>
          </w:p>
          <w:p>
            <w:pPr/>
            <w:hyperlink r:id="rId10" w:history="1">
              <w:r>
                <w:rPr>
                  <w:color w:val="#410a8c"/>
                  <w:u w:val="single"/>
                </w:rPr>
                <w:t xml:space="preserve">Nicolas Mathey</w:t>
              </w:r>
            </w:hyperlink>
          </w:p>
          <w:p>
            <w:pPr/>
            <w:r>
              <w:rPr/>
              <w:t xml:space="preserve">2018</w:t>
            </w:r>
          </w:p>
          <w:p>
            <w:pPr/>
            <w:r>
              <w:rPr/>
              <w:t xml:space="preserve">Autre publication scientifique</w:t>
            </w:r>
          </w:p>
          <w:p>
            <w:pPr/>
            <w:hyperlink r:id="rId80" w:history="1">
              <w:r>
                <w:rPr>
                  <w:color w:val="#410a8c"/>
                  <w:u w:val="single"/>
                </w:rPr>
                <w:t xml:space="preserve">halshs-04139930v1</w:t>
              </w:r>
            </w:hyperlink>
          </w:p>
        </w:tc>
      </w:tr>
      <w:tr>
        <w:trPr/>
        <w:tc>
          <w:tcPr>
            <w:noWrap/>
          </w:tcPr>
          <w:p>
            <w:pPr>
              <w:spacing w:after="200"/>
            </w:pPr>
            <w:hyperlink r:id="rId81" w:history="1">
              <w:r>
                <w:rPr>
                  <w:color w:val="1e198e"/>
                  <w:b w:val="1"/>
                  <w:bCs w:val="1"/>
                  <w:u w:val="single"/>
                </w:rPr>
                <w:t xml:space="preserve">Fascicule 20 : Contrat - Formes du contrat - Contrat conclu par voie électronique. Article 1174 à 1177</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1" w:history="1">
              <w:r>
                <w:rPr>
                  <w:color w:val="#410a8c"/>
                  <w:u w:val="single"/>
                </w:rPr>
                <w:t xml:space="preserve">halshs-04139925v1</w:t>
              </w:r>
            </w:hyperlink>
          </w:p>
        </w:tc>
      </w:tr>
      <w:tr>
        <w:trPr/>
        <w:tc>
          <w:tcPr>
            <w:noWrap/>
          </w:tcPr>
          <w:p>
            <w:pPr>
              <w:spacing w:after="200"/>
            </w:pPr>
            <w:hyperlink r:id="rId82" w:history="1">
              <w:r>
                <w:rPr>
                  <w:color w:val="1e198e"/>
                  <w:b w:val="1"/>
                  <w:bCs w:val="1"/>
                  <w:u w:val="single"/>
                </w:rPr>
                <w:t xml:space="preserve">Représentation</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2" w:history="1">
              <w:r>
                <w:rPr>
                  <w:color w:val="#410a8c"/>
                  <w:u w:val="single"/>
                </w:rPr>
                <w:t xml:space="preserve">halshs-04139916v1</w:t>
              </w:r>
            </w:hyperlink>
          </w:p>
        </w:tc>
      </w:tr>
      <w:tr>
        <w:trPr/>
        <w:tc>
          <w:tcPr>
            <w:noWrap/>
          </w:tcPr>
          <w:p>
            <w:pPr>
              <w:spacing w:after="200"/>
            </w:pPr>
            <w:hyperlink r:id="rId83" w:history="1">
              <w:r>
                <w:rPr>
                  <w:color w:val="1e198e"/>
                  <w:b w:val="1"/>
                  <w:bCs w:val="1"/>
                  <w:u w:val="single"/>
                </w:rPr>
                <w:t xml:space="preserve">Comptes courants d’associés</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3" w:history="1">
              <w:r>
                <w:rPr>
                  <w:color w:val="#410a8c"/>
                  <w:u w:val="single"/>
                </w:rPr>
                <w:t xml:space="preserve">halshs-04139932v1</w:t>
              </w:r>
            </w:hyperlink>
          </w:p>
        </w:tc>
      </w:tr>
      <w:tr>
        <w:trPr/>
        <w:tc>
          <w:tcPr>
            <w:noWrap/>
          </w:tcPr>
          <w:p>
            <w:pPr>
              <w:spacing w:after="200"/>
            </w:pPr>
            <w:hyperlink r:id="rId84" w:history="1">
              <w:r>
                <w:rPr>
                  <w:color w:val="1e198e"/>
                  <w:b w:val="1"/>
                  <w:bCs w:val="1"/>
                  <w:u w:val="single"/>
                </w:rPr>
                <w:t xml:space="preserve">CONTRAT - Conclusion du contrat - dispositions propres au contrat conclu par voie électronique. Art. 1125 à 1127-6</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4" w:history="1">
              <w:r>
                <w:rPr>
                  <w:color w:val="#410a8c"/>
                  <w:u w:val="single"/>
                </w:rPr>
                <w:t xml:space="preserve">halshs-04139926v1</w:t>
              </w:r>
            </w:hyperlink>
          </w:p>
        </w:tc>
      </w:tr>
      <w:tr>
        <w:trPr/>
        <w:tc>
          <w:tcPr>
            <w:noWrap/>
          </w:tcPr>
          <w:p>
            <w:pPr>
              <w:spacing w:after="200"/>
            </w:pPr>
            <w:hyperlink r:id="rId85" w:history="1">
              <w:r>
                <w:rPr>
                  <w:color w:val="1e198e"/>
                  <w:b w:val="1"/>
                  <w:bCs w:val="1"/>
                  <w:u w:val="single"/>
                </w:rPr>
                <w:t xml:space="preserve">Chronique mensuelle - L'essentiel Droit bancaire</w:t>
              </w:r>
            </w:hyperlink>
          </w:p>
          <w:p>
            <w:pPr/>
            <w:hyperlink r:id="rId10" w:history="1">
              <w:r>
                <w:rPr>
                  <w:color w:val="#410a8c"/>
                  <w:u w:val="single"/>
                </w:rPr>
                <w:t xml:space="preserve">Nicolas Mathey</w:t>
              </w:r>
            </w:hyperlink>
          </w:p>
          <w:p>
            <w:pPr/>
            <w:r>
              <w:rPr/>
              <w:t xml:space="preserve">2016</w:t>
            </w:r>
          </w:p>
          <w:p>
            <w:pPr/>
            <w:r>
              <w:rPr/>
              <w:t xml:space="preserve">Autre publication scientifique</w:t>
            </w:r>
          </w:p>
          <w:p>
            <w:pPr/>
            <w:hyperlink r:id="rId85" w:history="1">
              <w:r>
                <w:rPr>
                  <w:color w:val="#410a8c"/>
                  <w:u w:val="single"/>
                </w:rPr>
                <w:t xml:space="preserve">halshs-04139850v1</w:t>
              </w:r>
            </w:hyperlink>
          </w:p>
        </w:tc>
      </w:tr>
      <w:tr>
        <w:trPr/>
        <w:tc>
          <w:tcPr>
            <w:noWrap/>
          </w:tcPr>
          <w:p>
            <w:pPr>
              <w:spacing w:after="200"/>
            </w:pPr>
            <w:hyperlink r:id="rId86" w:history="1">
              <w:r>
                <w:rPr>
                  <w:color w:val="1e198e"/>
                  <w:b w:val="1"/>
                  <w:bCs w:val="1"/>
                  <w:u w:val="single"/>
                </w:rPr>
                <w:t xml:space="preserve">Chronique annuelle Droit privé et religion</w:t>
              </w:r>
            </w:hyperlink>
          </w:p>
          <w:p>
            <w:pPr/>
            <w:hyperlink r:id="rId10" w:history="1">
              <w:r>
                <w:rPr>
                  <w:color w:val="#410a8c"/>
                  <w:u w:val="single"/>
                </w:rPr>
                <w:t xml:space="preserve">Nicolas Mathey</w:t>
              </w:r>
            </w:hyperlink>
          </w:p>
          <w:p>
            <w:pPr/>
            <w:r>
              <w:rPr/>
              <w:t xml:space="preserve">2014</w:t>
            </w:r>
          </w:p>
          <w:p>
            <w:pPr/>
            <w:r>
              <w:rPr/>
              <w:t xml:space="preserve">Autre publication scientifique</w:t>
            </w:r>
          </w:p>
          <w:p>
            <w:pPr/>
            <w:hyperlink r:id="rId86" w:history="1">
              <w:r>
                <w:rPr>
                  <w:color w:val="#410a8c"/>
                  <w:u w:val="single"/>
                </w:rPr>
                <w:t xml:space="preserve">halshs-04139852v1</w:t>
              </w:r>
            </w:hyperlink>
          </w:p>
        </w:tc>
      </w:tr>
      <w:tr>
        <w:trPr/>
        <w:tc>
          <w:tcPr>
            <w:noWrap/>
          </w:tcPr>
          <w:p>
            <w:pPr>
              <w:spacing w:after="200"/>
            </w:pPr>
            <w:hyperlink r:id="rId87" w:history="1">
              <w:r>
                <w:rPr>
                  <w:color w:val="1e198e"/>
                  <w:b w:val="1"/>
                  <w:bCs w:val="1"/>
                  <w:u w:val="single"/>
                </w:rPr>
                <w:t xml:space="preserve">Chronique bimestrielle de droit du crédit aux particuliers</w:t>
              </w:r>
            </w:hyperlink>
          </w:p>
          <w:p>
            <w:pPr/>
            <w:hyperlink r:id="rId10" w:history="1">
              <w:r>
                <w:rPr>
                  <w:color w:val="#410a8c"/>
                  <w:u w:val="single"/>
                </w:rPr>
                <w:t xml:space="preserve">Nicolas Mathey</w:t>
              </w:r>
            </w:hyperlink>
          </w:p>
          <w:p>
            <w:pPr/>
            <w:r>
              <w:rPr/>
              <w:t xml:space="preserve">2010</w:t>
            </w:r>
          </w:p>
          <w:p>
            <w:pPr/>
            <w:r>
              <w:rPr/>
              <w:t xml:space="preserve">Autre publication scientifique</w:t>
            </w:r>
          </w:p>
          <w:p>
            <w:pPr/>
            <w:hyperlink r:id="rId87" w:history="1">
              <w:r>
                <w:rPr>
                  <w:color w:val="#410a8c"/>
                  <w:u w:val="single"/>
                </w:rPr>
                <w:t xml:space="preserve">halshs-04139848v1</w:t>
              </w:r>
            </w:hyperlink>
          </w:p>
        </w:tc>
      </w:tr>
      <w:tr>
        <w:trPr/>
        <w:tc>
          <w:tcPr>
            <w:noWrap/>
          </w:tcPr>
          <w:p>
            <w:pPr>
              <w:spacing w:after="200"/>
            </w:pPr>
            <w:hyperlink r:id="rId88" w:history="1">
              <w:r>
                <w:rPr>
                  <w:color w:val="1e198e"/>
                  <w:b w:val="1"/>
                  <w:bCs w:val="1"/>
                  <w:u w:val="single"/>
                </w:rPr>
                <w:t xml:space="preserve">Contribution mensuelle en droit de la distribution et de la concurrence (pratiques restrictives de concurrence)</w:t>
              </w:r>
            </w:hyperlink>
          </w:p>
          <w:p>
            <w:pPr/>
            <w:hyperlink r:id="rId10" w:history="1">
              <w:r>
                <w:rPr>
                  <w:color w:val="#410a8c"/>
                  <w:u w:val="single"/>
                </w:rPr>
                <w:t xml:space="preserve">Nicolas Mathey</w:t>
              </w:r>
            </w:hyperlink>
          </w:p>
          <w:p>
            <w:pPr/>
            <w:r>
              <w:rPr/>
              <w:t xml:space="preserve">2008</w:t>
            </w:r>
          </w:p>
          <w:p>
            <w:pPr/>
            <w:r>
              <w:rPr/>
              <w:t xml:space="preserve">Autre publication scientifique</w:t>
            </w:r>
          </w:p>
          <w:p>
            <w:pPr/>
            <w:hyperlink r:id="rId88" w:history="1">
              <w:r>
                <w:rPr>
                  <w:color w:val="#410a8c"/>
                  <w:u w:val="single"/>
                </w:rPr>
                <w:t xml:space="preserve">halshs-04139844v1</w:t>
              </w:r>
            </w:hyperlink>
          </w:p>
        </w:tc>
      </w:tr>
      <w:tr>
        <w:trPr/>
        <w:tc>
          <w:tcPr>
            <w:noWrap/>
          </w:tcPr>
          <w:p>
            <w:pPr>
              <w:spacing w:after="200"/>
            </w:pPr>
            <w:hyperlink r:id="rId89" w:history="1">
              <w:r>
                <w:rPr>
                  <w:color w:val="1e198e"/>
                  <w:b w:val="1"/>
                  <w:bCs w:val="1"/>
                  <w:u w:val="single"/>
                </w:rPr>
                <w:t xml:space="preserve">Chronique semestrielle de droit bancaire</w:t>
              </w:r>
            </w:hyperlink>
          </w:p>
          <w:p>
            <w:pPr/>
            <w:hyperlink r:id="rId10" w:history="1">
              <w:r>
                <w:rPr>
                  <w:color w:val="#410a8c"/>
                  <w:u w:val="single"/>
                </w:rPr>
                <w:t xml:space="preserve">Nicolas Mathey</w:t>
              </w:r>
            </w:hyperlink>
          </w:p>
          <w:p>
            <w:pPr/>
            <w:r>
              <w:rPr/>
              <w:t xml:space="preserve">2005</w:t>
            </w:r>
          </w:p>
          <w:p>
            <w:pPr/>
            <w:r>
              <w:rPr/>
              <w:t xml:space="preserve">Autre publication scientifique</w:t>
            </w:r>
          </w:p>
          <w:p>
            <w:pPr/>
            <w:hyperlink r:id="rId89" w:history="1">
              <w:r>
                <w:rPr>
                  <w:color w:val="#410a8c"/>
                  <w:u w:val="single"/>
                </w:rPr>
                <w:t xml:space="preserve">halshs-04139847v1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Introduction : Méthode d’interprétation et réforme du droit des contrats – Du Code civil à la réforme de 2016</w:t>
              </w:r>
            </w:hyperlink>
          </w:p>
          <w:p>
            <w:pPr/>
            <w:hyperlink r:id="rId10" w:history="1">
              <w:r>
                <w:rPr>
                  <w:color w:val="#410a8c"/>
                  <w:u w:val="single"/>
                </w:rPr>
                <w:t xml:space="preserve">Nicolas Mathey</w:t>
              </w:r>
            </w:hyperlink>
            <w:r>
              <w:rPr/>
              <w:t xml:space="preserve">,</w:t>
            </w:r>
            <w:hyperlink r:id="rId91" w:history="1">
              <w:r>
                <w:rPr>
                  <w:color w:val="#410a8c"/>
                  <w:u w:val="single"/>
                </w:rPr>
                <w:t xml:space="preserve">Sylvain Bloquet</w:t>
              </w:r>
            </w:hyperlink>
            <w:r>
              <w:rPr/>
              <w:t xml:space="preserve">,</w:t>
            </w:r>
            <w:hyperlink r:id="rId92" w:history="1">
              <w:r>
                <w:rPr>
                  <w:color w:val="#410a8c"/>
                  <w:u w:val="single"/>
                </w:rPr>
                <w:t xml:space="preserve">Arnaud Vergne</w:t>
              </w:r>
            </w:hyperlink>
          </w:p>
          <w:p>
            <w:pPr/>
            <w:r>
              <w:rPr>
                <w:i w:val="1"/>
                <w:iCs w:val="1"/>
              </w:rPr>
              <w:t xml:space="preserve">Méthode d’interprétation et réforme du droit des contrats – Du Code civil à la réforme de 2016</w:t>
            </w:r>
            <w:r>
              <w:rPr/>
              <w:t xml:space="preserve">, Nov 2022, Malakoff, France</w:t>
            </w:r>
          </w:p>
          <w:p>
            <w:pPr/>
            <w:r>
              <w:rPr/>
              <w:t xml:space="preserve">Communication dans un congrès</w:t>
            </w:r>
          </w:p>
          <w:p>
            <w:pPr/>
            <w:hyperlink r:id="rId90" w:history="1">
              <w:r>
                <w:rPr>
                  <w:color w:val="#410a8c"/>
                  <w:u w:val="single"/>
                </w:rPr>
                <w:t xml:space="preserve">halshs-04139828v1</w:t>
              </w:r>
            </w:hyperlink>
          </w:p>
        </w:tc>
      </w:tr>
      <w:tr>
        <w:trPr/>
        <w:tc>
          <w:tcPr>
            <w:noWrap/>
          </w:tcPr>
          <w:p>
            <w:pPr>
              <w:spacing w:after="200"/>
            </w:pPr>
            <w:hyperlink r:id="rId93" w:history="1">
              <w:r>
                <w:rPr>
                  <w:color w:val="1e198e"/>
                  <w:b w:val="1"/>
                  <w:bCs w:val="1"/>
                  <w:u w:val="single"/>
                </w:rPr>
                <w:t xml:space="preserve">L’interprétation peut-elle être libre et scientifique ?</w:t>
              </w:r>
            </w:hyperlink>
          </w:p>
          <w:p>
            <w:pPr/>
            <w:hyperlink r:id="rId10" w:history="1">
              <w:r>
                <w:rPr>
                  <w:color w:val="#410a8c"/>
                  <w:u w:val="single"/>
                </w:rPr>
                <w:t xml:space="preserve">Nicolas Mathey</w:t>
              </w:r>
            </w:hyperlink>
          </w:p>
          <w:p>
            <w:pPr/>
            <w:r>
              <w:rPr>
                <w:i w:val="1"/>
                <w:iCs w:val="1"/>
              </w:rPr>
              <w:t xml:space="preserve">Méthode d’interprétation et réforme du droit des contrats</w:t>
            </w:r>
            <w:r>
              <w:rPr/>
              <w:t xml:space="preserve">, Nov 2022, Malakoff, France</w:t>
            </w:r>
          </w:p>
          <w:p>
            <w:pPr/>
            <w:r>
              <w:rPr/>
              <w:t xml:space="preserve">Communication dans un congrès</w:t>
            </w:r>
          </w:p>
          <w:p>
            <w:pPr/>
            <w:hyperlink r:id="rId93" w:history="1">
              <w:r>
                <w:rPr>
                  <w:color w:val="#410a8c"/>
                  <w:u w:val="single"/>
                </w:rPr>
                <w:t xml:space="preserve">halshs-04139820v1</w:t>
              </w:r>
            </w:hyperlink>
          </w:p>
        </w:tc>
      </w:tr>
      <w:tr>
        <w:trPr/>
        <w:tc>
          <w:tcPr>
            <w:noWrap/>
          </w:tcPr>
          <w:p>
            <w:pPr>
              <w:spacing w:after="200"/>
            </w:pPr>
            <w:hyperlink r:id="rId94" w:history="1">
              <w:r>
                <w:rPr>
                  <w:color w:val="1e198e"/>
                  <w:b w:val="1"/>
                  <w:bCs w:val="1"/>
                  <w:u w:val="single"/>
                </w:rPr>
                <w:t xml:space="preserve">Intelligence artificielle, banque, finance et assurance</w:t>
              </w:r>
            </w:hyperlink>
          </w:p>
          <w:p>
            <w:pPr/>
            <w:hyperlink r:id="rId10" w:history="1">
              <w:r>
                <w:rPr>
                  <w:color w:val="#410a8c"/>
                  <w:u w:val="single"/>
                </w:rPr>
                <w:t xml:space="preserve">Nicolas Mathey</w:t>
              </w:r>
            </w:hyperlink>
          </w:p>
          <w:p>
            <w:pPr/>
            <w:r>
              <w:rPr>
                <w:i w:val="1"/>
                <w:iCs w:val="1"/>
              </w:rPr>
              <w:t xml:space="preserve">Séminaire : Quelle régulation pour l’intelligence artificielle ?</w:t>
            </w:r>
            <w:r>
              <w:rPr/>
              <w:t xml:space="preserve">, Feb 2019, Paris, France</w:t>
            </w:r>
          </w:p>
          <w:p>
            <w:pPr/>
            <w:r>
              <w:rPr/>
              <w:t xml:space="preserve">Communication dans un congrès</w:t>
            </w:r>
          </w:p>
          <w:p>
            <w:pPr/>
            <w:hyperlink r:id="rId94" w:history="1">
              <w:r>
                <w:rPr>
                  <w:color w:val="#410a8c"/>
                  <w:u w:val="single"/>
                </w:rPr>
                <w:t xml:space="preserve">halshs-04139830v1</w:t>
              </w:r>
            </w:hyperlink>
          </w:p>
        </w:tc>
      </w:tr>
      <w:tr>
        <w:trPr/>
        <w:tc>
          <w:tcPr>
            <w:noWrap/>
          </w:tcPr>
          <w:p>
            <w:pPr>
              <w:spacing w:after="200"/>
            </w:pPr>
            <w:hyperlink r:id="rId95" w:history="1">
              <w:r>
                <w:rPr>
                  <w:color w:val="1e198e"/>
                  <w:b w:val="1"/>
                  <w:bCs w:val="1"/>
                  <w:u w:val="single"/>
                </w:rPr>
                <w:t xml:space="preserve">Les cryptomonnaies</w:t>
              </w:r>
            </w:hyperlink>
          </w:p>
          <w:p>
            <w:pPr/>
            <w:hyperlink r:id="rId10" w:history="1">
              <w:r>
                <w:rPr>
                  <w:color w:val="#410a8c"/>
                  <w:u w:val="single"/>
                </w:rPr>
                <w:t xml:space="preserve">Nicolas Mathey</w:t>
              </w:r>
            </w:hyperlink>
          </w:p>
          <w:p>
            <w:pPr/>
            <w:r>
              <w:rPr>
                <w:i w:val="1"/>
                <w:iCs w:val="1"/>
              </w:rPr>
              <w:t xml:space="preserve">Blockchain : utopie ou promesse d'avenir ?</w:t>
            </w:r>
            <w:r>
              <w:rPr/>
              <w:t xml:space="preserve">, Mar 2019, Paris, France</w:t>
            </w:r>
          </w:p>
          <w:p>
            <w:pPr/>
            <w:r>
              <w:rPr/>
              <w:t xml:space="preserve">Communication dans un congrès</w:t>
            </w:r>
          </w:p>
          <w:p>
            <w:pPr/>
            <w:hyperlink r:id="rId95" w:history="1">
              <w:r>
                <w:rPr>
                  <w:color w:val="#410a8c"/>
                  <w:u w:val="single"/>
                </w:rPr>
                <w:t xml:space="preserve">halshs-04139825v1</w:t>
              </w:r>
            </w:hyperlink>
          </w:p>
        </w:tc>
      </w:tr>
      <w:tr>
        <w:trPr/>
        <w:tc>
          <w:tcPr>
            <w:noWrap/>
          </w:tcPr>
          <w:p>
            <w:pPr>
              <w:spacing w:after="200"/>
            </w:pPr>
            <w:hyperlink r:id="rId96" w:history="1">
              <w:r>
                <w:rPr>
                  <w:color w:val="1e198e"/>
                  <w:b w:val="1"/>
                  <w:bCs w:val="1"/>
                  <w:u w:val="single"/>
                </w:rPr>
                <w:t xml:space="preserve">L'article 353 du Code pénal et autres romans de Tanguy Viel : un finistère policier</w:t>
              </w:r>
            </w:hyperlink>
          </w:p>
          <w:p>
            <w:pPr/>
            <w:hyperlink r:id="rId10" w:history="1">
              <w:r>
                <w:rPr>
                  <w:color w:val="#410a8c"/>
                  <w:u w:val="single"/>
                </w:rPr>
                <w:t xml:space="preserve">Nicolas Mathey</w:t>
              </w:r>
            </w:hyperlink>
          </w:p>
          <w:p>
            <w:pPr/>
            <w:r>
              <w:rPr>
                <w:i w:val="1"/>
                <w:iCs w:val="1"/>
              </w:rPr>
              <w:t xml:space="preserve">De l’assassinat considéré comme un des arts juridiques</w:t>
            </w:r>
            <w:r>
              <w:rPr/>
              <w:t xml:space="preserve">, Jul 2019, Paris, France</w:t>
            </w:r>
          </w:p>
          <w:p>
            <w:pPr/>
            <w:r>
              <w:rPr/>
              <w:t xml:space="preserve">Communication dans un congrès</w:t>
            </w:r>
          </w:p>
          <w:p>
            <w:pPr/>
            <w:hyperlink r:id="rId96" w:history="1">
              <w:r>
                <w:rPr>
                  <w:color w:val="#410a8c"/>
                  <w:u w:val="single"/>
                </w:rPr>
                <w:t xml:space="preserve">halshs-04139833v1</w:t>
              </w:r>
            </w:hyperlink>
          </w:p>
        </w:tc>
      </w:tr>
      <w:tr>
        <w:trPr/>
        <w:tc>
          <w:tcPr>
            <w:noWrap/>
          </w:tcPr>
          <w:p>
            <w:pPr>
              <w:spacing w:after="200"/>
            </w:pPr>
            <w:hyperlink r:id="rId97" w:history="1">
              <w:r>
                <w:rPr>
                  <w:color w:val="1e198e"/>
                  <w:b w:val="1"/>
                  <w:bCs w:val="1"/>
                  <w:u w:val="single"/>
                </w:rPr>
                <w:t xml:space="preserve">Les prêts en devise</w:t>
              </w:r>
            </w:hyperlink>
          </w:p>
          <w:p>
            <w:pPr/>
            <w:hyperlink r:id="rId10" w:history="1">
              <w:r>
                <w:rPr>
                  <w:color w:val="#410a8c"/>
                  <w:u w:val="single"/>
                </w:rPr>
                <w:t xml:space="preserve">Nicolas Mathey</w:t>
              </w:r>
            </w:hyperlink>
          </w:p>
          <w:p>
            <w:pPr/>
            <w:r>
              <w:rPr>
                <w:i w:val="1"/>
                <w:iCs w:val="1"/>
              </w:rPr>
              <w:t xml:space="preserve">Les taux d'intérêt bancaires</w:t>
            </w:r>
            <w:r>
              <w:rPr/>
              <w:t xml:space="preserve">, Jun 2019, Paris, France</w:t>
            </w:r>
          </w:p>
          <w:p>
            <w:pPr/>
            <w:r>
              <w:rPr/>
              <w:t xml:space="preserve">Communication dans un congrès</w:t>
            </w:r>
          </w:p>
          <w:p>
            <w:pPr/>
            <w:hyperlink r:id="rId97" w:history="1">
              <w:r>
                <w:rPr>
                  <w:color w:val="#410a8c"/>
                  <w:u w:val="single"/>
                </w:rPr>
                <w:t xml:space="preserve">halshs-04139821v1</w:t>
              </w:r>
            </w:hyperlink>
          </w:p>
        </w:tc>
      </w:tr>
      <w:tr>
        <w:trPr/>
        <w:tc>
          <w:tcPr>
            <w:noWrap/>
          </w:tcPr>
          <w:p>
            <w:pPr>
              <w:spacing w:after="200"/>
            </w:pPr>
            <w:hyperlink r:id="rId98" w:history="1">
              <w:r>
                <w:rPr>
                  <w:color w:val="1e198e"/>
                  <w:b w:val="1"/>
                  <w:bCs w:val="1"/>
                  <w:u w:val="single"/>
                </w:rPr>
                <w:t xml:space="preserve">Intelligence artificielle et santé.</w:t>
              </w:r>
            </w:hyperlink>
          </w:p>
          <w:p>
            <w:pPr/>
            <w:hyperlink r:id="rId10" w:history="1">
              <w:r>
                <w:rPr>
                  <w:color w:val="#410a8c"/>
                  <w:u w:val="single"/>
                </w:rPr>
                <w:t xml:space="preserve">Nicolas Mathey</w:t>
              </w:r>
            </w:hyperlink>
          </w:p>
          <w:p>
            <w:pPr/>
            <w:r>
              <w:rPr>
                <w:i w:val="1"/>
                <w:iCs w:val="1"/>
              </w:rPr>
              <w:t xml:space="preserve">Séminaire : Quelle régulation pour l’intelligence artificielle ?</w:t>
            </w:r>
            <w:r>
              <w:rPr/>
              <w:t xml:space="preserve">, Mar 2019, Paris, France</w:t>
            </w:r>
          </w:p>
          <w:p>
            <w:pPr/>
            <w:r>
              <w:rPr/>
              <w:t xml:space="preserve">Communication dans un congrès</w:t>
            </w:r>
          </w:p>
          <w:p>
            <w:pPr/>
            <w:hyperlink r:id="rId98" w:history="1">
              <w:r>
                <w:rPr>
                  <w:color w:val="#410a8c"/>
                  <w:u w:val="single"/>
                </w:rPr>
                <w:t xml:space="preserve">halshs-04139831v1</w:t>
              </w:r>
            </w:hyperlink>
          </w:p>
        </w:tc>
      </w:tr>
      <w:tr>
        <w:trPr/>
        <w:tc>
          <w:tcPr>
            <w:noWrap/>
          </w:tcPr>
          <w:p>
            <w:pPr>
              <w:spacing w:after="200"/>
            </w:pPr>
            <w:hyperlink r:id="rId99" w:history="1">
              <w:r>
                <w:rPr>
                  <w:color w:val="1e198e"/>
                  <w:b w:val="1"/>
                  <w:bCs w:val="1"/>
                  <w:u w:val="single"/>
                </w:rPr>
                <w:t xml:space="preserve">Propos introductifs</w:t>
              </w:r>
            </w:hyperlink>
          </w:p>
          <w:p>
            <w:pPr/>
            <w:hyperlink r:id="rId10" w:history="1">
              <w:r>
                <w:rPr>
                  <w:color w:val="#410a8c"/>
                  <w:u w:val="single"/>
                </w:rPr>
                <w:t xml:space="preserve">Nicolas Mathey</w:t>
              </w:r>
            </w:hyperlink>
          </w:p>
          <w:p>
            <w:pPr/>
            <w:r>
              <w:rPr>
                <w:i w:val="1"/>
                <w:iCs w:val="1"/>
              </w:rPr>
              <w:t xml:space="preserve">Banque et digitalisation</w:t>
            </w:r>
            <w:r>
              <w:rPr/>
              <w:t xml:space="preserve">, Feb 2019, Paris, France</w:t>
            </w:r>
          </w:p>
          <w:p>
            <w:pPr/>
            <w:r>
              <w:rPr/>
              <w:t xml:space="preserve">Communication dans un congrès</w:t>
            </w:r>
          </w:p>
          <w:p>
            <w:pPr/>
            <w:hyperlink r:id="rId99" w:history="1">
              <w:r>
                <w:rPr>
                  <w:color w:val="#410a8c"/>
                  <w:u w:val="single"/>
                </w:rPr>
                <w:t xml:space="preserve">halshs-04139823v1</w:t>
              </w:r>
            </w:hyperlink>
          </w:p>
        </w:tc>
      </w:tr>
      <w:tr>
        <w:trPr/>
        <w:tc>
          <w:tcPr>
            <w:noWrap/>
          </w:tcPr>
          <w:p>
            <w:pPr>
              <w:spacing w:after="200"/>
            </w:pPr>
            <w:hyperlink r:id="rId100" w:history="1">
              <w:r>
                <w:rPr>
                  <w:color w:val="1e198e"/>
                  <w:b w:val="1"/>
                  <w:bCs w:val="1"/>
                  <w:u w:val="single"/>
                </w:rPr>
                <w:t xml:space="preserve">L'entreprise</w:t>
              </w:r>
            </w:hyperlink>
          </w:p>
          <w:p>
            <w:pPr/>
            <w:hyperlink r:id="rId10" w:history="1">
              <w:r>
                <w:rPr>
                  <w:color w:val="#410a8c"/>
                  <w:u w:val="single"/>
                </w:rPr>
                <w:t xml:space="preserve">Nicolas Mathey</w:t>
              </w:r>
            </w:hyperlink>
          </w:p>
          <w:p>
            <w:pPr/>
            <w:r>
              <w:rPr>
                <w:i w:val="1"/>
                <w:iCs w:val="1"/>
              </w:rPr>
              <w:t xml:space="preserve">Sécularités, dialogue entre théologiens et juristes</w:t>
            </w:r>
            <w:r>
              <w:rPr/>
              <w:t xml:space="preserve">, Mar 2019, Paris, France</w:t>
            </w:r>
          </w:p>
          <w:p>
            <w:pPr/>
            <w:r>
              <w:rPr/>
              <w:t xml:space="preserve">Communication dans un congrès</w:t>
            </w:r>
          </w:p>
          <w:p>
            <w:pPr/>
            <w:hyperlink r:id="rId100" w:history="1">
              <w:r>
                <w:rPr>
                  <w:color w:val="#410a8c"/>
                  <w:u w:val="single"/>
                </w:rPr>
                <w:t xml:space="preserve">halshs-04139822v1</w:t>
              </w:r>
            </w:hyperlink>
          </w:p>
        </w:tc>
      </w:tr>
      <w:tr>
        <w:trPr/>
        <w:tc>
          <w:tcPr>
            <w:noWrap/>
          </w:tcPr>
          <w:p>
            <w:pPr>
              <w:spacing w:after="200"/>
            </w:pPr>
            <w:hyperlink r:id="rId101" w:history="1">
              <w:r>
                <w:rPr>
                  <w:color w:val="1e198e"/>
                  <w:b w:val="1"/>
                  <w:bCs w:val="1"/>
                  <w:u w:val="single"/>
                </w:rPr>
                <w:t xml:space="preserve">Implications juridiques de l'intelligence artificielle : La question de la reconnaissance d'une personnalité juridique</w:t>
              </w:r>
            </w:hyperlink>
          </w:p>
          <w:p>
            <w:pPr/>
            <w:hyperlink r:id="rId10" w:history="1">
              <w:r>
                <w:rPr>
                  <w:color w:val="#410a8c"/>
                  <w:u w:val="single"/>
                </w:rPr>
                <w:t xml:space="preserve">Nicolas Mathey</w:t>
              </w:r>
            </w:hyperlink>
          </w:p>
          <w:p>
            <w:pPr/>
            <w:r>
              <w:rPr>
                <w:i w:val="1"/>
                <w:iCs w:val="1"/>
              </w:rPr>
              <w:t xml:space="preserve">Séminaire : Quelle régulation pour l’intelligence artificielle ? - Notion d'intelligence artificielle et présentation des thèmes du projet de recherche</w:t>
            </w:r>
            <w:r>
              <w:rPr/>
              <w:t xml:space="preserve">, Nov 2018, Paris, France</w:t>
            </w:r>
          </w:p>
          <w:p>
            <w:pPr/>
            <w:r>
              <w:rPr/>
              <w:t xml:space="preserve">Communication dans un congrès</w:t>
            </w:r>
          </w:p>
          <w:p>
            <w:pPr/>
            <w:hyperlink r:id="rId101" w:history="1">
              <w:r>
                <w:rPr>
                  <w:color w:val="#410a8c"/>
                  <w:u w:val="single"/>
                </w:rPr>
                <w:t xml:space="preserve">halshs-04139829v1</w:t>
              </w:r>
            </w:hyperlink>
          </w:p>
        </w:tc>
      </w:tr>
      <w:tr>
        <w:trPr/>
        <w:tc>
          <w:tcPr>
            <w:noWrap/>
          </w:tcPr>
          <w:p>
            <w:pPr>
              <w:spacing w:after="200"/>
            </w:pPr>
            <w:hyperlink r:id="rId102" w:history="1">
              <w:r>
                <w:rPr>
                  <w:color w:val="1e198e"/>
                  <w:b w:val="1"/>
                  <w:bCs w:val="1"/>
                  <w:u w:val="single"/>
                </w:rPr>
                <w:t xml:space="preserve">Les responsabilités au sein de la blockchain</w:t>
              </w:r>
            </w:hyperlink>
          </w:p>
          <w:p>
            <w:pPr/>
            <w:hyperlink r:id="rId10" w:history="1">
              <w:r>
                <w:rPr>
                  <w:color w:val="#410a8c"/>
                  <w:u w:val="single"/>
                </w:rPr>
                <w:t xml:space="preserve">Nicolas Mathey</w:t>
              </w:r>
            </w:hyperlink>
          </w:p>
          <w:p>
            <w:pPr/>
            <w:r>
              <w:rPr>
                <w:i w:val="1"/>
                <w:iCs w:val="1"/>
              </w:rPr>
              <w:t xml:space="preserve">Numérique, éthique et droit</w:t>
            </w:r>
            <w:r>
              <w:rPr/>
              <w:t xml:space="preserve">, Feb 2018, La Rochelle, France</w:t>
            </w:r>
          </w:p>
          <w:p>
            <w:pPr/>
            <w:r>
              <w:rPr/>
              <w:t xml:space="preserve">Communication dans un congrès</w:t>
            </w:r>
          </w:p>
          <w:p>
            <w:pPr/>
            <w:hyperlink r:id="rId102" w:history="1">
              <w:r>
                <w:rPr>
                  <w:color w:val="#410a8c"/>
                  <w:u w:val="single"/>
                </w:rPr>
                <w:t xml:space="preserve">halshs-04139826v1</w:t>
              </w:r>
            </w:hyperlink>
          </w:p>
        </w:tc>
      </w:tr>
      <w:tr>
        <w:trPr/>
        <w:tc>
          <w:tcPr>
            <w:noWrap/>
          </w:tcPr>
          <w:p>
            <w:pPr>
              <w:spacing w:after="200"/>
            </w:pPr>
            <w:hyperlink r:id="rId103" w:history="1">
              <w:r>
                <w:rPr>
                  <w:color w:val="1e198e"/>
                  <w:b w:val="1"/>
                  <w:bCs w:val="1"/>
                  <w:u w:val="single"/>
                </w:rPr>
                <w:t xml:space="preserve">Animation de la table ronde sur les cryptomonnaies</w:t>
              </w:r>
            </w:hyperlink>
          </w:p>
          <w:p>
            <w:pPr/>
            <w:hyperlink r:id="rId10" w:history="1">
              <w:r>
                <w:rPr>
                  <w:color w:val="#410a8c"/>
                  <w:u w:val="single"/>
                </w:rPr>
                <w:t xml:space="preserve">Nicolas Mathey</w:t>
              </w:r>
            </w:hyperlink>
          </w:p>
          <w:p>
            <w:pPr/>
            <w:r>
              <w:rPr>
                <w:i w:val="1"/>
                <w:iCs w:val="1"/>
              </w:rPr>
              <w:t xml:space="preserve">BlockDays &amp; Ledgerdays # 1</w:t>
            </w:r>
            <w:r>
              <w:rPr/>
              <w:t xml:space="preserve">, Jun 2018, Paris, France</w:t>
            </w:r>
          </w:p>
          <w:p>
            <w:pPr/>
            <w:r>
              <w:rPr/>
              <w:t xml:space="preserve">Communication dans un congrès</w:t>
            </w:r>
          </w:p>
          <w:p>
            <w:pPr/>
            <w:hyperlink r:id="rId103" w:history="1">
              <w:r>
                <w:rPr>
                  <w:color w:val="#410a8c"/>
                  <w:u w:val="single"/>
                </w:rPr>
                <w:t xml:space="preserve">halshs-04139832v1</w:t>
              </w:r>
            </w:hyperlink>
          </w:p>
        </w:tc>
      </w:tr>
      <w:tr>
        <w:trPr/>
        <w:tc>
          <w:tcPr>
            <w:noWrap/>
          </w:tcPr>
          <w:p>
            <w:pPr>
              <w:spacing w:after="200"/>
            </w:pPr>
            <w:hyperlink r:id="rId104" w:history="1">
              <w:r>
                <w:rPr>
                  <w:color w:val="1e198e"/>
                  <w:b w:val="1"/>
                  <w:bCs w:val="1"/>
                  <w:u w:val="single"/>
                </w:rPr>
                <w:t xml:space="preserve">La question des délais de paiement</w:t>
              </w:r>
            </w:hyperlink>
          </w:p>
          <w:p>
            <w:pPr/>
            <w:hyperlink r:id="rId10" w:history="1">
              <w:r>
                <w:rPr>
                  <w:color w:val="#410a8c"/>
                  <w:u w:val="single"/>
                </w:rPr>
                <w:t xml:space="preserve">Nicolas Mathey</w:t>
              </w:r>
            </w:hyperlink>
          </w:p>
          <w:p>
            <w:pPr/>
            <w:r>
              <w:rPr>
                <w:i w:val="1"/>
                <w:iCs w:val="1"/>
              </w:rPr>
              <w:t xml:space="preserve">Le financement des PME et des ETI, renouvellement des approches traditionnelles et développement de nouveaux vecteurs</w:t>
            </w:r>
            <w:r>
              <w:rPr/>
              <w:t xml:space="preserve">, Oct 2017, Paris, France</w:t>
            </w:r>
          </w:p>
          <w:p>
            <w:pPr/>
            <w:r>
              <w:rPr/>
              <w:t xml:space="preserve">Communication dans un congrès</w:t>
            </w:r>
          </w:p>
          <w:p>
            <w:pPr/>
            <w:hyperlink r:id="rId104" w:history="1">
              <w:r>
                <w:rPr>
                  <w:color w:val="#410a8c"/>
                  <w:u w:val="single"/>
                </w:rPr>
                <w:t xml:space="preserve">halshs-04139824v1</w:t>
              </w:r>
            </w:hyperlink>
          </w:p>
        </w:tc>
      </w:tr>
      <w:tr>
        <w:trPr/>
        <w:tc>
          <w:tcPr>
            <w:noWrap/>
          </w:tcPr>
          <w:p>
            <w:pPr>
              <w:spacing w:after="200"/>
            </w:pPr>
            <w:hyperlink r:id="rId105" w:history="1">
              <w:r>
                <w:rPr>
                  <w:color w:val="1e198e"/>
                  <w:b w:val="1"/>
                  <w:bCs w:val="1"/>
                  <w:u w:val="single"/>
                </w:rPr>
                <w:t xml:space="preserve">Propos conclusifs</w:t>
              </w:r>
            </w:hyperlink>
          </w:p>
          <w:p>
            <w:pPr/>
            <w:hyperlink r:id="rId10" w:history="1">
              <w:r>
                <w:rPr>
                  <w:color w:val="#410a8c"/>
                  <w:u w:val="single"/>
                </w:rPr>
                <w:t xml:space="preserve">Nicolas Mathey</w:t>
              </w:r>
            </w:hyperlink>
          </w:p>
          <w:p>
            <w:pPr/>
            <w:r>
              <w:rPr>
                <w:i w:val="1"/>
                <w:iCs w:val="1"/>
              </w:rPr>
              <w:t xml:space="preserve">Les apports de la loi Sapin II : La lutte contre la corruption et les manquements à la probité</w:t>
            </w:r>
            <w:r>
              <w:rPr/>
              <w:t xml:space="preserve">, May 2017, Paris, France</w:t>
            </w:r>
          </w:p>
          <w:p>
            <w:pPr/>
            <w:r>
              <w:rPr/>
              <w:t xml:space="preserve">Communication dans un congrès</w:t>
            </w:r>
          </w:p>
          <w:p>
            <w:pPr/>
            <w:hyperlink r:id="rId105" w:history="1">
              <w:r>
                <w:rPr>
                  <w:color w:val="#410a8c"/>
                  <w:u w:val="single"/>
                </w:rPr>
                <w:t xml:space="preserve">halshs-04139827v1</w:t>
              </w:r>
            </w:hyperlink>
          </w:p>
        </w:tc>
      </w:tr>
      <w:tr>
        <w:trPr/>
        <w:tc>
          <w:tcPr>
            <w:noWrap/>
          </w:tcPr>
          <w:p>
            <w:pPr>
              <w:spacing w:after="200"/>
            </w:pPr>
            <w:hyperlink r:id="rId106" w:history="1">
              <w:r>
                <w:rPr>
                  <w:color w:val="1e198e"/>
                  <w:b w:val="1"/>
                  <w:bCs w:val="1"/>
                  <w:u w:val="single"/>
                </w:rPr>
                <w:t xml:space="preserve">Personne morale de droit public et personne morale de droit privé</w:t>
              </w:r>
            </w:hyperlink>
          </w:p>
          <w:p>
            <w:pPr/>
            <w:hyperlink r:id="rId10" w:history="1">
              <w:r>
                <w:rPr>
                  <w:color w:val="#410a8c"/>
                  <w:u w:val="single"/>
                </w:rPr>
                <w:t xml:space="preserve">Nicolas Mathey</w:t>
              </w:r>
            </w:hyperlink>
            <w:r>
              <w:rPr/>
              <w:t xml:space="preserve">,</w:t>
            </w:r>
            <w:hyperlink r:id="rId107" w:history="1">
              <w:r>
                <w:rPr>
                  <w:color w:val="#410a8c"/>
                  <w:u w:val="single"/>
                </w:rPr>
                <w:t xml:space="preserve">Xavier Dupré de Boulois</w:t>
              </w:r>
            </w:hyperlink>
          </w:p>
          <w:p>
            <w:pPr/>
            <w:r>
              <w:rPr>
                <w:i w:val="1"/>
                <w:iCs w:val="1"/>
              </w:rPr>
              <w:t xml:space="preserve">Colloque "Léon Michoud"</w:t>
            </w:r>
            <w:r>
              <w:rPr/>
              <w:t xml:space="preserve">, Centre de recherches juridiques de Grenoble (CRJ); Centre d'études et de recherche sur le droit; l'histoire et l'administration publique (CERDHAP), Nov 2013, Grenoble, France. pp.139-157 ; 171-189</w:t>
            </w:r>
          </w:p>
          <w:p>
            <w:pPr/>
            <w:r>
              <w:rPr/>
              <w:t xml:space="preserve">Communication dans un congrès</w:t>
            </w:r>
          </w:p>
          <w:p>
            <w:pPr/>
            <w:hyperlink r:id="rId106" w:history="1">
              <w:r>
                <w:rPr>
                  <w:color w:val="#410a8c"/>
                  <w:u w:val="single"/>
                </w:rPr>
                <w:t xml:space="preserve">hal-02019280v1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Raymond Saleilles et au-delà</w:t>
              </w:r>
            </w:hyperlink>
          </w:p>
          <w:p>
            <w:pPr/>
            <w:hyperlink r:id="rId109" w:history="1">
              <w:r>
                <w:rPr>
                  <w:color w:val="#410a8c"/>
                  <w:u w:val="single"/>
                </w:rPr>
                <w:t xml:space="preserve">Frédéric Audren</w:t>
              </w:r>
            </w:hyperlink>
            <w:r>
              <w:rPr/>
              <w:t xml:space="preserve">,</w:t>
            </w:r>
            <w:hyperlink r:id="rId110" w:history="1">
              <w:r>
                <w:rPr>
                  <w:color w:val="#410a8c"/>
                  <w:u w:val="single"/>
                </w:rPr>
                <w:t xml:space="preserve">Christian Chêne</w:t>
              </w:r>
            </w:hyperlink>
            <w:r>
              <w:rPr/>
              <w:t xml:space="preserve">,</w:t>
            </w:r>
            <w:hyperlink r:id="rId10" w:history="1">
              <w:r>
                <w:rPr>
                  <w:color w:val="#410a8c"/>
                  <w:u w:val="single"/>
                </w:rPr>
                <w:t xml:space="preserve">Nicolas Mathey</w:t>
              </w:r>
            </w:hyperlink>
            <w:r>
              <w:rPr/>
              <w:t xml:space="preserve">,</w:t>
            </w:r>
            <w:hyperlink r:id="rId92" w:history="1">
              <w:r>
                <w:rPr>
                  <w:color w:val="#410a8c"/>
                  <w:u w:val="single"/>
                </w:rPr>
                <w:t xml:space="preserve">Arnaud Vergne</w:t>
              </w:r>
            </w:hyperlink>
          </w:p>
          <w:p>
            <w:pPr/>
            <w:r>
              <w:rPr/>
              <w:t xml:space="preserve">Dalloz, pp.192, 2013, Thèmes &amp; commentaires, 9782247125265</w:t>
            </w:r>
          </w:p>
          <w:p>
            <w:pPr/>
            <w:r>
              <w:rPr/>
              <w:t xml:space="preserve">Proceedings/Recueil des communications</w:t>
            </w:r>
          </w:p>
          <w:p>
            <w:pPr/>
            <w:hyperlink r:id="rId108" w:history="1">
              <w:r>
                <w:rPr>
                  <w:color w:val="#410a8c"/>
                  <w:u w:val="single"/>
                </w:rPr>
                <w:t xml:space="preserve">hal-03399498v1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Recherche sur la personnalité morale en droit privé</w:t>
              </w:r>
            </w:hyperlink>
          </w:p>
          <w:p>
            <w:pPr/>
            <w:hyperlink r:id="rId10" w:history="1">
              <w:r>
                <w:rPr>
                  <w:color w:val="#410a8c"/>
                  <w:u w:val="single"/>
                </w:rPr>
                <w:t xml:space="preserve">Nicolas Mathey</w:t>
              </w:r>
            </w:hyperlink>
          </w:p>
          <w:p>
            <w:pPr/>
            <w:r>
              <w:rPr/>
              <w:t xml:space="preserve">Droit. Université Paris II Panthéon-Assas, 2001.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tel-03950278v1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E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athey" TargetMode="External"/><Relationship Id="rId8" Type="http://schemas.openxmlformats.org/officeDocument/2006/relationships/hyperlink" Target="https://orcid.org/0000-0003-3376-2725" TargetMode="External"/><Relationship Id="rId9" Type="http://schemas.openxmlformats.org/officeDocument/2006/relationships/hyperlink" Target="https://shs.hal.science/halshs-04139911v1" TargetMode="External"/><Relationship Id="rId10" Type="http://schemas.openxmlformats.org/officeDocument/2006/relationships/hyperlink" Target="https://hal.science/search/index/?q=*&amp;authFullName_s=Nicolas Mathey" TargetMode="External"/><Relationship Id="rId11" Type="http://schemas.openxmlformats.org/officeDocument/2006/relationships/hyperlink" Target="https://shs.hal.science/halshs-04139813v1" TargetMode="External"/><Relationship Id="rId12" Type="http://schemas.openxmlformats.org/officeDocument/2006/relationships/hyperlink" Target="https://shs.hal.science/halshs-04139905v1" TargetMode="External"/><Relationship Id="rId13" Type="http://schemas.openxmlformats.org/officeDocument/2006/relationships/hyperlink" Target="https://shs.hal.science/halshs-04139913v1" TargetMode="External"/><Relationship Id="rId14" Type="http://schemas.openxmlformats.org/officeDocument/2006/relationships/hyperlink" Target="https://shs.hal.science/halshs-03590162v1" TargetMode="External"/><Relationship Id="rId15" Type="http://schemas.openxmlformats.org/officeDocument/2006/relationships/hyperlink" Target="https://hal.science/hal-03950319v1" TargetMode="External"/><Relationship Id="rId16" Type="http://schemas.openxmlformats.org/officeDocument/2006/relationships/hyperlink" Target="https://dx.doi.org/10.3917/sdr.010.0267" TargetMode="External"/><Relationship Id="rId17" Type="http://schemas.openxmlformats.org/officeDocument/2006/relationships/hyperlink" Target="https://shs.hal.science/halshs-04139912v1" TargetMode="External"/><Relationship Id="rId18" Type="http://schemas.openxmlformats.org/officeDocument/2006/relationships/hyperlink" Target="https://shs.hal.science/halshs-04139908v1" TargetMode="External"/><Relationship Id="rId19" Type="http://schemas.openxmlformats.org/officeDocument/2006/relationships/hyperlink" Target="https://shs.hal.science/halshs-03332333v1" TargetMode="External"/><Relationship Id="rId20" Type="http://schemas.openxmlformats.org/officeDocument/2006/relationships/hyperlink" Target="https://shs.hal.science/halshs-04139907v1" TargetMode="External"/><Relationship Id="rId21" Type="http://schemas.openxmlformats.org/officeDocument/2006/relationships/hyperlink" Target="https://shs.hal.science/halshs-04139906v1" TargetMode="External"/><Relationship Id="rId22" Type="http://schemas.openxmlformats.org/officeDocument/2006/relationships/hyperlink" Target="https://shs.hal.science/halshs-04139915v1" TargetMode="External"/><Relationship Id="rId23" Type="http://schemas.openxmlformats.org/officeDocument/2006/relationships/hyperlink" Target="https://shs.hal.science/halshs-04139914v1" TargetMode="External"/><Relationship Id="rId24" Type="http://schemas.openxmlformats.org/officeDocument/2006/relationships/hyperlink" Target="https://shs.hal.science/halshs-04139282v1" TargetMode="External"/><Relationship Id="rId25" Type="http://schemas.openxmlformats.org/officeDocument/2006/relationships/hyperlink" Target="https://shs.hal.science/halshs-03371364v1" TargetMode="External"/><Relationship Id="rId26" Type="http://schemas.openxmlformats.org/officeDocument/2006/relationships/hyperlink" Target="https://shs.hal.science/halshs-04139272v1" TargetMode="External"/><Relationship Id="rId27" Type="http://schemas.openxmlformats.org/officeDocument/2006/relationships/hyperlink" Target="https://shs.hal.science/halshs-04139909v1" TargetMode="External"/><Relationship Id="rId28" Type="http://schemas.openxmlformats.org/officeDocument/2006/relationships/hyperlink" Target="https://shs.hal.science/halshs-02531258v1" TargetMode="External"/><Relationship Id="rId29" Type="http://schemas.openxmlformats.org/officeDocument/2006/relationships/hyperlink" Target="https://shs.hal.science/halshs-04139917v1" TargetMode="External"/><Relationship Id="rId30" Type="http://schemas.openxmlformats.org/officeDocument/2006/relationships/hyperlink" Target="https://shs.hal.science/halshs-04139918v1" TargetMode="External"/><Relationship Id="rId31" Type="http://schemas.openxmlformats.org/officeDocument/2006/relationships/hyperlink" Target="https://shs.hal.science/halshs-04139279v1" TargetMode="External"/><Relationship Id="rId32" Type="http://schemas.openxmlformats.org/officeDocument/2006/relationships/hyperlink" Target="https://shs.hal.science/halshs-02450798v1" TargetMode="External"/><Relationship Id="rId33" Type="http://schemas.openxmlformats.org/officeDocument/2006/relationships/hyperlink" Target="https://shs.hal.science/halshs-04139919v1" TargetMode="External"/><Relationship Id="rId34" Type="http://schemas.openxmlformats.org/officeDocument/2006/relationships/hyperlink" Target="https://shs.hal.science/halshs-04139920v1" TargetMode="External"/><Relationship Id="rId35" Type="http://schemas.openxmlformats.org/officeDocument/2006/relationships/hyperlink" Target="https://shs.hal.science/halshs-04139810v1" TargetMode="External"/><Relationship Id="rId36" Type="http://schemas.openxmlformats.org/officeDocument/2006/relationships/hyperlink" Target="https://hal.science/hal-03950315v1" TargetMode="External"/><Relationship Id="rId37" Type="http://schemas.openxmlformats.org/officeDocument/2006/relationships/hyperlink" Target="https://dx.doi.org/10.3917/sdr.009.0139" TargetMode="External"/><Relationship Id="rId38" Type="http://schemas.openxmlformats.org/officeDocument/2006/relationships/hyperlink" Target="https://shs.hal.science/halshs-04139811v1" TargetMode="External"/><Relationship Id="rId39" Type="http://schemas.openxmlformats.org/officeDocument/2006/relationships/hyperlink" Target="https://shs.hal.science/halshs-04139921v1" TargetMode="External"/><Relationship Id="rId40" Type="http://schemas.openxmlformats.org/officeDocument/2006/relationships/hyperlink" Target="https://shs.hal.science/halshs-04139922v1" TargetMode="External"/><Relationship Id="rId41" Type="http://schemas.openxmlformats.org/officeDocument/2006/relationships/hyperlink" Target="https://shs.hal.science/halshs-04139923v1" TargetMode="External"/><Relationship Id="rId42" Type="http://schemas.openxmlformats.org/officeDocument/2006/relationships/hyperlink" Target="https://shs.hal.science/halshs-04139812v1" TargetMode="External"/><Relationship Id="rId43" Type="http://schemas.openxmlformats.org/officeDocument/2006/relationships/hyperlink" Target="https://hal.science/search/index/?q=*&amp;authFullName_s=Gautier Bourdeaux" TargetMode="External"/><Relationship Id="rId44" Type="http://schemas.openxmlformats.org/officeDocument/2006/relationships/hyperlink" Target="https://shs.hal.science/halshs-04139910v1" TargetMode="External"/><Relationship Id="rId45" Type="http://schemas.openxmlformats.org/officeDocument/2006/relationships/hyperlink" Target="https://shs.hal.science/halshs-04139924v1" TargetMode="External"/><Relationship Id="rId46" Type="http://schemas.openxmlformats.org/officeDocument/2006/relationships/hyperlink" Target="https://hal.science/hal-03664276v1" TargetMode="External"/><Relationship Id="rId47" Type="http://schemas.openxmlformats.org/officeDocument/2006/relationships/hyperlink" Target="https://shs.hal.science/halshs-02240060v1" TargetMode="External"/><Relationship Id="rId48" Type="http://schemas.openxmlformats.org/officeDocument/2006/relationships/hyperlink" Target="https://shs.hal.science/halshs-02239547v1" TargetMode="External"/><Relationship Id="rId49" Type="http://schemas.openxmlformats.org/officeDocument/2006/relationships/hyperlink" Target="https://shs.hal.science/halshs-02239408v1" TargetMode="External"/><Relationship Id="rId50" Type="http://schemas.openxmlformats.org/officeDocument/2006/relationships/hyperlink" Target="https://shs.hal.science/halshs-02248255v1" TargetMode="External"/><Relationship Id="rId51" Type="http://schemas.openxmlformats.org/officeDocument/2006/relationships/hyperlink" Target="https://shs.hal.science/halshs-02239444v1" TargetMode="External"/><Relationship Id="rId52" Type="http://schemas.openxmlformats.org/officeDocument/2006/relationships/hyperlink" Target="https://shs.hal.science/halshs-02239335v1" TargetMode="External"/><Relationship Id="rId53" Type="http://schemas.openxmlformats.org/officeDocument/2006/relationships/hyperlink" Target="https://shs.hal.science/halshs-02239280v1" TargetMode="External"/><Relationship Id="rId54" Type="http://schemas.openxmlformats.org/officeDocument/2006/relationships/hyperlink" Target="https://shs.hal.science/halshs-02239240v1" TargetMode="External"/><Relationship Id="rId55" Type="http://schemas.openxmlformats.org/officeDocument/2006/relationships/hyperlink" Target="https://shs.hal.science/halshs-02239151v1" TargetMode="External"/><Relationship Id="rId56" Type="http://schemas.openxmlformats.org/officeDocument/2006/relationships/hyperlink" Target="https://shs.hal.science/halshs-04139859v1" TargetMode="External"/><Relationship Id="rId57" Type="http://schemas.openxmlformats.org/officeDocument/2006/relationships/hyperlink" Target="https://shs.hal.science/halshs-04139856v1" TargetMode="External"/><Relationship Id="rId58" Type="http://schemas.openxmlformats.org/officeDocument/2006/relationships/hyperlink" Target="https://shs.hal.science/halshs-04139857v1" TargetMode="External"/><Relationship Id="rId59" Type="http://schemas.openxmlformats.org/officeDocument/2006/relationships/hyperlink" Target="https://shs.hal.science/halshs-04139858v1" TargetMode="External"/><Relationship Id="rId60" Type="http://schemas.openxmlformats.org/officeDocument/2006/relationships/hyperlink" Target="https://shs.hal.science/halshs-04139862v1" TargetMode="External"/><Relationship Id="rId61" Type="http://schemas.openxmlformats.org/officeDocument/2006/relationships/hyperlink" Target="https://shs.hal.science/halshs-04139864v1" TargetMode="External"/><Relationship Id="rId62" Type="http://schemas.openxmlformats.org/officeDocument/2006/relationships/hyperlink" Target="https://shs.hal.science/halshs-04139861v1" TargetMode="External"/><Relationship Id="rId63" Type="http://schemas.openxmlformats.org/officeDocument/2006/relationships/hyperlink" Target="https://shs.hal.science/halshs-04139865v1" TargetMode="External"/><Relationship Id="rId64" Type="http://schemas.openxmlformats.org/officeDocument/2006/relationships/hyperlink" Target="https://shs.hal.science/halshs-04139863v1" TargetMode="External"/><Relationship Id="rId65" Type="http://schemas.openxmlformats.org/officeDocument/2006/relationships/hyperlink" Target="https://shs.hal.science/halshs-04139837v1" TargetMode="External"/><Relationship Id="rId66" Type="http://schemas.openxmlformats.org/officeDocument/2006/relationships/hyperlink" Target="https://shs.hal.science/halshs-04139860v1" TargetMode="External"/><Relationship Id="rId67" Type="http://schemas.openxmlformats.org/officeDocument/2006/relationships/hyperlink" Target="https://shs.hal.science/halshs-04139818v1" TargetMode="External"/><Relationship Id="rId68" Type="http://schemas.openxmlformats.org/officeDocument/2006/relationships/hyperlink" Target="https://hal.science/search/index/?q=*&amp;authFullName_s=Herv&#233; Causse" TargetMode="External"/><Relationship Id="rId69" Type="http://schemas.openxmlformats.org/officeDocument/2006/relationships/hyperlink" Target="https://hal.science/search/index/?q=*&amp;authFullName_s=Jean-Fran&#231;ois Riffard" TargetMode="External"/><Relationship Id="rId70" Type="http://schemas.openxmlformats.org/officeDocument/2006/relationships/hyperlink" Target="https://shs.hal.science/halshs-04139869v1" TargetMode="External"/><Relationship Id="rId71" Type="http://schemas.openxmlformats.org/officeDocument/2006/relationships/hyperlink" Target="https://shs.hal.science/halshs-04139870v1" TargetMode="External"/><Relationship Id="rId72" Type="http://schemas.openxmlformats.org/officeDocument/2006/relationships/hyperlink" Target="https://shs.hal.science/halshs-04139927v1" TargetMode="External"/><Relationship Id="rId73" Type="http://schemas.openxmlformats.org/officeDocument/2006/relationships/hyperlink" Target="https://shs.hal.science/halshs-04139877v1" TargetMode="External"/><Relationship Id="rId74" Type="http://schemas.openxmlformats.org/officeDocument/2006/relationships/hyperlink" Target="https://shs.hal.science/halshs-04139871v1" TargetMode="External"/><Relationship Id="rId75" Type="http://schemas.openxmlformats.org/officeDocument/2006/relationships/hyperlink" Target="https://shs.hal.science/halshs-04139929v1" TargetMode="External"/><Relationship Id="rId76" Type="http://schemas.openxmlformats.org/officeDocument/2006/relationships/hyperlink" Target="https://shs.hal.science/halshs-04139883v1" TargetMode="External"/><Relationship Id="rId77" Type="http://schemas.openxmlformats.org/officeDocument/2006/relationships/hyperlink" Target="https://shs.hal.science/halshs-04139928v1" TargetMode="External"/><Relationship Id="rId78" Type="http://schemas.openxmlformats.org/officeDocument/2006/relationships/hyperlink" Target="https://shs.hal.science/halshs-04139889v1" TargetMode="External"/><Relationship Id="rId79" Type="http://schemas.openxmlformats.org/officeDocument/2006/relationships/hyperlink" Target="https://shs.hal.science/halshs-04139900v1" TargetMode="External"/><Relationship Id="rId80" Type="http://schemas.openxmlformats.org/officeDocument/2006/relationships/hyperlink" Target="https://shs.hal.science/halshs-04139930v1" TargetMode="External"/><Relationship Id="rId81" Type="http://schemas.openxmlformats.org/officeDocument/2006/relationships/hyperlink" Target="https://shs.hal.science/halshs-04139925v1" TargetMode="External"/><Relationship Id="rId82" Type="http://schemas.openxmlformats.org/officeDocument/2006/relationships/hyperlink" Target="https://shs.hal.science/halshs-04139916v1" TargetMode="External"/><Relationship Id="rId83" Type="http://schemas.openxmlformats.org/officeDocument/2006/relationships/hyperlink" Target="https://shs.hal.science/halshs-04139932v1" TargetMode="External"/><Relationship Id="rId84" Type="http://schemas.openxmlformats.org/officeDocument/2006/relationships/hyperlink" Target="https://shs.hal.science/halshs-04139926v1" TargetMode="External"/><Relationship Id="rId85" Type="http://schemas.openxmlformats.org/officeDocument/2006/relationships/hyperlink" Target="https://shs.hal.science/halshs-04139850v1" TargetMode="External"/><Relationship Id="rId86" Type="http://schemas.openxmlformats.org/officeDocument/2006/relationships/hyperlink" Target="https://shs.hal.science/halshs-04139852v1" TargetMode="External"/><Relationship Id="rId87" Type="http://schemas.openxmlformats.org/officeDocument/2006/relationships/hyperlink" Target="https://shs.hal.science/halshs-04139848v1" TargetMode="External"/><Relationship Id="rId88" Type="http://schemas.openxmlformats.org/officeDocument/2006/relationships/hyperlink" Target="https://shs.hal.science/halshs-04139844v1" TargetMode="External"/><Relationship Id="rId89" Type="http://schemas.openxmlformats.org/officeDocument/2006/relationships/hyperlink" Target="https://shs.hal.science/halshs-04139847v1" TargetMode="External"/><Relationship Id="rId90" Type="http://schemas.openxmlformats.org/officeDocument/2006/relationships/hyperlink" Target="https://shs.hal.science/halshs-04139828v1" TargetMode="External"/><Relationship Id="rId91" Type="http://schemas.openxmlformats.org/officeDocument/2006/relationships/hyperlink" Target="https://hal.science/search/index/?q=*&amp;authFullName_s=Sylvain Bloquet" TargetMode="External"/><Relationship Id="rId92" Type="http://schemas.openxmlformats.org/officeDocument/2006/relationships/hyperlink" Target="https://hal.science/search/index/?q=*&amp;authFullName_s=Arnaud Vergne" TargetMode="External"/><Relationship Id="rId93" Type="http://schemas.openxmlformats.org/officeDocument/2006/relationships/hyperlink" Target="https://shs.hal.science/halshs-04139820v1" TargetMode="External"/><Relationship Id="rId94" Type="http://schemas.openxmlformats.org/officeDocument/2006/relationships/hyperlink" Target="https://shs.hal.science/halshs-04139830v1" TargetMode="External"/><Relationship Id="rId95" Type="http://schemas.openxmlformats.org/officeDocument/2006/relationships/hyperlink" Target="https://shs.hal.science/halshs-04139825v1" TargetMode="External"/><Relationship Id="rId96" Type="http://schemas.openxmlformats.org/officeDocument/2006/relationships/hyperlink" Target="https://shs.hal.science/halshs-04139833v1" TargetMode="External"/><Relationship Id="rId97" Type="http://schemas.openxmlformats.org/officeDocument/2006/relationships/hyperlink" Target="https://shs.hal.science/halshs-04139821v1" TargetMode="External"/><Relationship Id="rId98" Type="http://schemas.openxmlformats.org/officeDocument/2006/relationships/hyperlink" Target="https://shs.hal.science/halshs-04139831v1" TargetMode="External"/><Relationship Id="rId99" Type="http://schemas.openxmlformats.org/officeDocument/2006/relationships/hyperlink" Target="https://shs.hal.science/halshs-04139823v1" TargetMode="External"/><Relationship Id="rId100" Type="http://schemas.openxmlformats.org/officeDocument/2006/relationships/hyperlink" Target="https://shs.hal.science/halshs-04139822v1" TargetMode="External"/><Relationship Id="rId101" Type="http://schemas.openxmlformats.org/officeDocument/2006/relationships/hyperlink" Target="https://shs.hal.science/halshs-04139829v1" TargetMode="External"/><Relationship Id="rId102" Type="http://schemas.openxmlformats.org/officeDocument/2006/relationships/hyperlink" Target="https://shs.hal.science/halshs-04139826v1" TargetMode="External"/><Relationship Id="rId103" Type="http://schemas.openxmlformats.org/officeDocument/2006/relationships/hyperlink" Target="https://shs.hal.science/halshs-04139832v1" TargetMode="External"/><Relationship Id="rId104" Type="http://schemas.openxmlformats.org/officeDocument/2006/relationships/hyperlink" Target="https://shs.hal.science/halshs-04139824v1" TargetMode="External"/><Relationship Id="rId105" Type="http://schemas.openxmlformats.org/officeDocument/2006/relationships/hyperlink" Target="https://shs.hal.science/halshs-04139827v1" TargetMode="External"/><Relationship Id="rId106" Type="http://schemas.openxmlformats.org/officeDocument/2006/relationships/hyperlink" Target="https://hal.science/hal-02019280v1" TargetMode="External"/><Relationship Id="rId107" Type="http://schemas.openxmlformats.org/officeDocument/2006/relationships/hyperlink" Target="https://hal.science/search/index/?q=*&amp;authFullName_s=Xavier Dupr&#233; de Boulois" TargetMode="External"/><Relationship Id="rId108" Type="http://schemas.openxmlformats.org/officeDocument/2006/relationships/hyperlink" Target="https://sciencespo.hal.science/hal-03399498v1" TargetMode="External"/><Relationship Id="rId109" Type="http://schemas.openxmlformats.org/officeDocument/2006/relationships/hyperlink" Target="https://hal.science/search/index/?q=*&amp;authFullName_s=Fr&#233;d&#233;ric Audren" TargetMode="External"/><Relationship Id="rId110" Type="http://schemas.openxmlformats.org/officeDocument/2006/relationships/hyperlink" Target="https://hal.science/search/index/?q=*&amp;authFullName_s=Christian Ch&#234;ne" TargetMode="External"/><Relationship Id="rId111" Type="http://schemas.openxmlformats.org/officeDocument/2006/relationships/hyperlink" Target="https://hal.science/tel-03950278v1"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mathey</dc:title>
  <dc:description>CV</dc:description>
  <dc:subject/>
  <cp:keywords/>
  <cp:category/>
  <cp:lastModifiedBy/>
  <dcterms:created xsi:type="dcterms:W3CDTF">2026-05-16T12:57:38+02:00</dcterms:created>
  <dcterms:modified xsi:type="dcterms:W3CDTF">2026-05-16T12:57:38+02:00</dcterms:modified>
</cp:coreProperties>
</file>

<file path=docProps/custom.xml><?xml version="1.0" encoding="utf-8"?>
<Properties xmlns="http://schemas.openxmlformats.org/officeDocument/2006/custom-properties" xmlns:vt="http://schemas.openxmlformats.org/officeDocument/2006/docPropsVTypes"/>
</file>