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Olivia Danic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</w:t></w:r></w:p><w:p><w:pPr/><w:r><w:rPr/><w:t xml:space="preserve">2014-</w:t></w:r></w:p><w:p><w:pPr/><w:r><w:rPr><w:b w:val="1"/><w:bCs w:val="1"/></w:rPr><w:t xml:space="preserve">Maître de conférences à l’Université de Nîmes</w:t></w:r></w:p><w:p><w:pPr/><w:r><w:rPr/><w:t xml:space="preserve">Membre de l’équipe </w:t></w:r><w:r><w:rPr><w:b w:val="1"/><w:bCs w:val="1"/></w:rPr><w:t xml:space="preserve">CHROME</w:t></w:r><w:r><w:rPr/><w:t xml:space="preserve">, Détection, évaluation, gestion des risques CHROniques et éMErgents – EA7352</w:t></w:r></w:p><w:p><w:pPr/><w:r><w:rPr/><w:t xml:space="preserve">2014</w:t></w:r></w:p><w:p><w:pPr/><w:r><w:rPr><w:b w:val="1"/><w:bCs w:val="1"/></w:rPr><w:t xml:space="preserve">Qualification aux fonctions de maître de conférences</w:t></w:r><w:r><w:rPr/><w:t xml:space="preserve"> par le Conseil national des universités(Section 02 – Droit public)</w:t></w:r></w:p><w:p><w:pPr/><w:r><w:rPr/><w:t xml:space="preserve">2014</w:t></w:r></w:p><w:p><w:pPr/><w:r><w:rPr><w:b w:val="1"/><w:bCs w:val="1"/></w:rPr><w:t xml:space="preserve">Certificat d’Aptitude à la Profession d’Avocat</w:t></w:r><w:r><w:rPr/><w:t xml:space="preserve"> (Barreau de Paris)</w:t></w:r></w:p><w:p><w:pPr/><w:r><w:rPr/><w:t xml:space="preserve">2006-2012</w:t></w:r></w:p><w:p><w:pPr/><w:r><w:rPr><w:b w:val="1"/><w:bCs w:val="1"/></w:rPr><w:t xml:space="preserve">Doctorat en droit public</w:t></w:r><w:r><w:rPr/><w:t xml:space="preserve"> – Université Paris Ouest Nanterre – La Défense</w:t></w:r></w:p><w:p><w:pPr/><w:r><w:rPr/><w:t xml:space="preserve">Thèse : </w:t></w:r><w:r><w:rPr><w:i w:val="1"/><w:iCs w:val="1"/></w:rPr><w:t xml:space="preserve">L’émergence du droit international des investissements – Contribution des traités bilatéraux d’investissement et de la jurisprudence du CIRDI</w:t></w:r></w:p><w:p><w:pPr/><w:r><w:rPr/><w:t xml:space="preserve">Mention : Très honorable avec les félicitations du jury</w:t></w:r></w:p><w:p><w:pPr/><w:r><w:rPr/><w:t xml:space="preserve">Dir. : Pr. Alain Pellet ; jury : Pr. M. Forteau, Pr. F. Latty, Pr. Ch. Leben, Me L. Malintoppi</w:t></w:r></w:p><w:p><w:pPr/><w:r><w:rPr/><w:t xml:space="preserve">Prix : Médaille Maurice Travers de l’Académie des Sciences Morales et Politiques</w:t></w:r></w:p><w:p><w:pPr/><w:r><w:rPr/><w:t xml:space="preserve">Mention spéciale de l’Association française des docteurs en droit (AFDD)</w:t></w:r></w:p><w:p><w:pPr/><w:r><w:rPr/><w:t xml:space="preserve">2006-2011</w:t></w:r></w:p><w:p><w:pPr/><w:r><w:rPr><w:b w:val="1"/><w:bCs w:val="1"/></w:rPr><w:t xml:space="preserve">Allocataire de recherche – Moniteur,</w:t></w:r><w:r><w:rPr/><w:t xml:space="preserve"> puis </w:t></w:r><w:r><w:rPr><w:b w:val="1"/><w:bCs w:val="1"/></w:rPr><w:t xml:space="preserve">Attachée Temporaire d’Enseignement et de Recherche</w:t></w:r><w:r><w:rPr/><w:t xml:space="preserve"> (ATER), demi-poste, au sein du Centre de Droit International de Nanterre (CEDIN), Université Paris Ouest Nanterre – La Défense</w:t></w:r></w:p><w:p><w:pPr/><w:r><w:rPr/><w:t xml:space="preserve">2005-2006</w:t></w:r></w:p><w:p><w:pPr/><w:r><w:rPr><w:b w:val="1"/><w:bCs w:val="1"/></w:rPr><w:t xml:space="preserve">Master II recherche</w:t></w:r><w:r><w:rPr/><w:t xml:space="preserve"> de droit des relations économiques, internationales et communautaires – Université Paris Ouest Nanterre – La Défense ; Mention : Bien, Major de promotion</w:t></w:r></w:p><w:p><w:pPr/><w:r><w:rPr/><w:t xml:space="preserve">**EXPERIENCE PROFESSIONNELLE**</w:t></w:r></w:p><w:p><w:pPr/><w:r><w:rPr><w:b w:val="1"/><w:bCs w:val="1"/></w:rPr><w:t xml:space="preserve">Enseignements</w:t></w:r></w:p><w:p><w:pPr/><w:r><w:rPr/><w:t xml:space="preserve">2014-</w:t></w:r></w:p><w:p><w:pPr/><w:r><w:rPr><w:b w:val="1"/><w:bCs w:val="1"/></w:rPr><w:t xml:space="preserve">Maître de conférences à l’Université de Nîmes</w:t></w:r></w:p><w:p><w:pPr/><w:r><w:rPr/><w:t xml:space="preserve">Cours magistraux en </w:t></w:r><w:r><w:rPr><w:b w:val="1"/><w:bCs w:val="1"/></w:rPr><w:t xml:space="preserve">Droit international public</w:t></w:r><w:r><w:rPr/><w:t xml:space="preserve"> (L 3) ; </w:t></w:r><w:r><w:rPr><w:b w:val="1"/><w:bCs w:val="1"/></w:rPr><w:t xml:space="preserve">Droit comparé des libertés</w:t></w:r><w:r><w:rPr/><w:t xml:space="preserve"> (M 1) ; </w:t></w:r><w:r><w:rPr><w:b w:val="1"/><w:bCs w:val="1"/></w:rPr><w:t xml:space="preserve">Institutions européennes</w:t></w:r><w:r><w:rPr/><w:t xml:space="preserve"> (L 1) ; </w:t></w:r><w:r><w:rPr><w:b w:val="1"/><w:bCs w:val="1"/></w:rPr><w:t xml:space="preserve">Droit matériel de l’Union européenne</w:t></w:r><w:r><w:rPr/><w:t xml:space="preserve"> (L 3) ; </w:t></w:r><w:r><w:rPr><w:b w:val="1"/><w:bCs w:val="1"/></w:rPr><w:t xml:space="preserve">Droit de la CEDH (M1)</w:t></w:r></w:p><w:p><w:pPr/><w:r><w:rPr/><w:t xml:space="preserve">2014-2015</w:t></w:r></w:p><w:p><w:pPr/><w:r><w:rPr><w:b w:val="1"/><w:bCs w:val="1"/></w:rPr><w:t xml:space="preserve">Charge d’enseignement</w:t></w:r><w:r><w:rPr/><w:t xml:space="preserve"> à l’Université Paris 13 Sorbonne Paris Cite</w:t></w:r></w:p><w:p><w:pPr/><w:r><w:rPr/><w:t xml:space="preserve">Cours magistral de </w:t></w:r><w:r><w:rPr><w:b w:val="1"/><w:bCs w:val="1"/></w:rPr><w:t xml:space="preserve">droit international économique</w:t></w:r><w:r><w:rPr/><w:t xml:space="preserve"> (M 1)</w:t></w:r></w:p><w:p><w:pPr/><w:r><w:rPr/><w:t xml:space="preserve">2009-2011</w:t></w:r></w:p><w:p><w:pPr/><w:r><w:rPr><w:b w:val="1"/><w:bCs w:val="1"/></w:rPr><w:t xml:space="preserve">Animation de conférences de méthode en Internationalisation du droit</w:t></w:r><w:r><w:rPr/><w:t xml:space="preserve"> (L 3), Université Paris Ouest Nanterre – La Défense.</w:t></w:r></w:p><w:p><w:pPr/><w:r><w:rPr/><w:t xml:space="preserve">2007-2009</w:t></w:r></w:p><w:p><w:pPr/><w:r><w:rPr><w:b w:val="1"/><w:bCs w:val="1"/></w:rPr><w:t xml:space="preserve">Charge de travaux dirigés en droit international public</w:t></w:r><w:r><w:rPr/><w:t xml:space="preserve"> (L 3), Université Paris Ouest Nanterre – La Défense.</w:t></w:r></w:p><w:p><w:pPr/><w:r><w:rPr/><w:t xml:space="preserve">2006-2009</w:t></w:r></w:p><w:p><w:pPr/><w:r><w:rPr><w:b w:val="1"/><w:bCs w:val="1"/></w:rPr><w:t xml:space="preserve">Charge de travaux dirigés en Institutions politiques et droit constitutionnel</w:t></w:r><w:r><w:rPr/><w:t xml:space="preserve"> (L 1), Université Paris Ouest Nanterre – La Défense.</w:t></w:r></w:p><w:p><w:pPr/><w:r><w:rPr/><w:t xml:space="preserve">**Recherche et responsabilités administratives au sein l’Université de Nîmes**2018-2019</w:t></w:r></w:p><w:p><w:pPr/><w:r><w:rPr/><w:t xml:space="preserve">Responsable de la licence professionnelle Agent de Recherches Privées</w:t></w:r></w:p><w:p><w:pPr/><w:r><w:rPr/><w:t xml:space="preserve">2017-</w:t></w:r></w:p><w:p><w:pPr/><w:r><w:rPr/><w:t xml:space="preserve">Représentante du département de Droit, Economie, Gestion au sein du </w:t></w:r><w:r><w:rPr><w:b w:val="1"/><w:bCs w:val="1"/></w:rPr><w:t xml:space="preserve">Comité de labellisation TICE</w:t></w:r></w:p><w:p><w:pPr/><w:r><w:rPr/><w:t xml:space="preserve">2015-</w:t></w:r></w:p><w:p><w:pPr/><w:r><w:rPr><w:b w:val="1"/><w:bCs w:val="1"/></w:rPr><w:t xml:space="preserve">Référent-défense</w:t></w:r></w:p><w:p><w:pPr/><w:r><w:rPr/><w:t xml:space="preserve">2014-</w:t></w:r></w:p><w:p><w:pPr/><w:r><w:rPr/><w:t xml:space="preserve">Responsable de l’</w:t></w:r><w:r><w:rPr><w:b w:val="1"/><w:bCs w:val="1"/></w:rPr><w:t xml:space="preserve">aide à la réussite</w:t></w:r><w:r><w:rPr/><w:t xml:space="preserve"> et des </w:t></w:r><w:r><w:rPr><w:b w:val="1"/><w:bCs w:val="1"/></w:rPr><w:t xml:space="preserve">relations internationales</w:t></w:r><w:r><w:rPr/><w:t xml:space="preserve"> pour le département de Droit, Economie, Gestion</w:t></w:r></w:p><w:p><w:pPr/><w:r><w:rPr/><w:t xml:space="preserve">2014-</w:t></w:r></w:p><w:p><w:pPr/><w:r><w:rPr/><w:t xml:space="preserve">Membre de l’équipe </w:t></w:r><w:r><w:rPr><w:b w:val="1"/><w:bCs w:val="1"/></w:rPr><w:t xml:space="preserve">CHROME</w:t></w:r><w:r><w:rPr/><w:t xml:space="preserve">, Détection, évaluation, gestion des risques CHROniques et éMErgents – EA7352</w:t></w:r></w:p><w:p><w:pPr/><w:r><w:rPr/><w:t xml:space="preserve">**Stages**2014</w:t></w:r></w:p><w:p><w:pPr/><w:r><w:rPr/><w:t xml:space="preserve">Stage dans le cabinet d’avocats </w:t></w:r><w:r><w:rPr><w:b w:val="1"/><w:bCs w:val="1"/></w:rPr><w:t xml:space="preserve">Cleary Gottlieb Steen & Hamilton</w:t></w:r><w:r><w:rPr/><w:t xml:space="preserve"> (Barreau de Paris), dans l’équipe d’arbitrage et de droit international – 6 mois</w:t></w:r></w:p><w:p><w:pPr/><w:r><w:rPr/><w:t xml:space="preserve">2013</w:t></w:r></w:p><w:p><w:pPr/><w:r><w:rPr/><w:t xml:space="preserve">Stage au </w:t></w:r><w:r><w:rPr><w:b w:val="1"/><w:bCs w:val="1"/></w:rPr><w:t xml:space="preserve">Conseil d’Etat, Section du Contentieux</w:t></w:r><w:r><w:rPr/><w:t xml:space="preserve">, auprès de la cellule d’aide à la décision de la 2ème sous‑section, sous la direction du Président J.-H. Stahl – 6 mois</w:t></w:r></w:p><w:p><w:pPr/><w:r><w:rPr/><w:t xml:space="preserve">2006-2007</w:t></w:r></w:p><w:p><w:pPr/><w:r><w:rPr/><w:t xml:space="preserve">Stage au </w:t></w:r><w:r><w:rPr><w:b w:val="1"/><w:bCs w:val="1"/></w:rPr><w:t xml:space="preserve">Conseil d’Etat, Section du Rapport et des Etudes</w:t></w:r><w:r><w:rPr/><w:t xml:space="preserve"> – 9 mois</w:t></w:r></w:p><w:p><w:pPr/><w:r><w:rPr/><w:t xml:space="preserve">Publication du rapport : Conseil d’Etat, </w:t></w:r><w:r><w:rPr><w:i w:val="1"/><w:iCs w:val="1"/></w:rPr><w:t xml:space="preserve">L’implantation des organisations internationales sur le territoire français</w:t></w:r><w:r><w:rPr/><w:t xml:space="preserve">, La Documentation française, Paris, 2009, 174 p.</w:t></w:r></w:p><w:p><w:pPr/><w:r><w:rPr/><w:t xml:space="preserve">**PUBLICATIONS**</w:t></w:r></w:p><w:p><w:pPr/><w:r><w:rPr/><w:t xml:space="preserve">« </w:t></w:r><w:r><w:rPr><w:b w:val="1"/><w:bCs w:val="1"/></w:rPr><w:t xml:space="preserve">La fuyante responsabilité de la Communauté pour les dommages qu’elle cause : retour sur les affaires </w:t></w:r><w:r><w:rPr><w:b w:val="1"/><w:bCs w:val="1"/><w:i w:val="1"/><w:iCs w:val="1"/></w:rPr><w:t xml:space="preserve">FIAMM</w:t></w:r><w:r><w:rPr><w:b w:val="1"/><w:bCs w:val="1"/></w:rPr><w:t xml:space="preserve"> et </w:t></w:r><w:r><w:rPr><w:b w:val="1"/><w:bCs w:val="1"/><w:i w:val="1"/><w:iCs w:val="1"/></w:rPr><w:t xml:space="preserve">Fedon</w:t></w:r><w:r><w:rPr/><w:t xml:space="preserve"> », </w:t></w:r><w:r><w:rPr><w:i w:val="1"/><w:iCs w:val="1"/></w:rPr><w:t xml:space="preserve">Revue du Marché Commun et de l'Union Européenne</w:t></w:r><w:r><w:rPr/><w:t xml:space="preserve">, n°535, février 2010, pp. 128-135.</w:t></w:r></w:p><w:p><w:pPr/><w:r><w:rPr/><w:t xml:space="preserve">« </w:t></w:r><w:r><w:rPr><w:b w:val="1"/><w:bCs w:val="1"/></w:rPr><w:t xml:space="preserve">La participation des organisations non gouvernementales à l'élaboration du droit international social</w:t></w:r><w:r><w:rPr/><w:t xml:space="preserve"> » et « </w:t></w:r><w:r><w:rPr><w:b w:val="1"/><w:bCs w:val="1"/></w:rPr><w:t xml:space="preserve">L'égalité de traitement en matière de sécurité sociale</w:t></w:r><w:r><w:rPr/><w:t xml:space="preserve"> », </w:t></w:r><w:r><w:rPr><w:i w:val="1"/><w:iCs w:val="1"/></w:rPr><w:t xml:space="preserve">in</w:t></w:r><w:r><w:rPr/><w:t xml:space="preserve"> J.-M. Thouvenin et A. Trebilcock (dir.), </w:t></w:r><w:r><w:rPr><w:i w:val="1"/><w:iCs w:val="1"/></w:rPr><w:t xml:space="preserve">Droit international social,</w:t></w:r><w:r><w:rPr/><w:t xml:space="preserve"> Bruylant, Bruxelles, 2013, pp. 463-481 et pp. 1566-1576.</w:t></w:r></w:p><w:p><w:pPr/><w:r><w:rPr/><w:t xml:space="preserve">« </w:t></w:r><w:r><w:rPr><w:b w:val="1"/><w:bCs w:val="1"/></w:rPr><w:t xml:space="preserve">La place des conventions internationales dans l’ordre juridique de l’Union européenne. Les conventions conclues par les Communautés et / ou l’Union</w:t></w:r><w:r><w:rPr/><w:t xml:space="preserve"> », , </w:t></w:r><w:r><w:rPr><w:i w:val="1"/><w:iCs w:val="1"/></w:rPr><w:t xml:space="preserve">in</w:t></w:r><w:r><w:rPr/><w:t xml:space="preserve"> M. Benlolo-Carabot, E. Cujo et U. Candas (dir.), </w:t></w:r><w:r><w:rPr><w:i w:val="1"/><w:iCs w:val="1"/></w:rPr><w:t xml:space="preserve">Union européenne et droit international (en l’honneur de Patrick Daillier)</w:t></w:r><w:r><w:rPr/><w:t xml:space="preserve">, Pedone, Paris, 2013, pp. 610-627.</w:t></w:r></w:p><w:p><w:pPr/><w:r><w:rPr/><w:t xml:space="preserve">« </w:t></w:r><w:r><w:rPr><w:b w:val="1"/><w:bCs w:val="1"/></w:rPr><w:t xml:space="preserve">1913-2013 : Les cent ans de l’arrêt </w:t></w:r><w:r><w:rPr><w:b w:val="1"/><w:bCs w:val="1"/><w:i w:val="1"/><w:iCs w:val="1"/></w:rPr><w:t xml:space="preserve">Téry</w:t></w:r><w:r><w:rPr><w:b w:val="1"/><w:bCs w:val="1"/></w:rPr><w:t xml:space="preserve"> ou un siècle de droits de la défense</w:t></w:r><w:r><w:rPr/><w:t xml:space="preserve"> », </w:t></w:r><w:r><w:rPr><w:i w:val="1"/><w:iCs w:val="1"/></w:rPr><w:t xml:space="preserve">Revue du droit public et de la science politique en France et à l’étranger</w:t></w:r><w:r><w:rPr/><w:t xml:space="preserve">, 2014, n° 1, pp. 3‑38.</w:t></w:r></w:p><w:p><w:pPr/><w:r><w:rPr/><w:t xml:space="preserve">« </w:t></w:r><w:r><w:rPr><w:b w:val="1"/><w:bCs w:val="1"/></w:rPr><w:t xml:space="preserve">Droits de l’homme, droit de l’environnement</w:t></w:r><w:r><w:rPr/><w:t xml:space="preserve"> », </w:t></w:r><w:r><w:rPr><w:i w:val="1"/><w:iCs w:val="1"/></w:rPr><w:t xml:space="preserve">in</w:t></w:r><w:r><w:rPr/><w:t xml:space="preserve"> Ch. Leben (dir.), </w:t></w:r><w:r><w:rPr><w:i w:val="1"/><w:iCs w:val="1"/></w:rPr><w:t xml:space="preserve">Droit international des investissements et arbitrage transnational</w:t></w:r><w:r><w:rPr/><w:t xml:space="preserve">, Pedone, Paris, 2015, pp. 531-579.</w:t></w:r></w:p><w:p><w:pPr/><w:r><w:rPr/><w:t xml:space="preserve">« </w:t></w:r><w:r><w:rPr><w:b w:val="1"/><w:bCs w:val="1"/></w:rPr><w:t xml:space="preserve">1926 (5 février), C.E., </w:t></w:r><w:r><w:rPr><w:b w:val="1"/><w:bCs w:val="1"/><w:i w:val="1"/><w:iCs w:val="1"/></w:rPr><w:t xml:space="preserve">Dame Caraco</w:t></w:r><w:r><w:rPr/><w:t xml:space="preserve"> » et « </w:t></w:r><w:r><w:rPr><w:b w:val="1"/><w:bCs w:val="1"/></w:rPr><w:t xml:space="preserve">1998 (18 décembre), C.E., Ass., </w:t></w:r><w:r><w:rPr><w:b w:val="1"/><w:bCs w:val="1"/><w:i w:val="1"/><w:iCs w:val="1"/></w:rPr><w:t xml:space="preserve">SARL du parc d’activités de Blotzheim</w:t></w:r><w:r><w:rPr/><w:t xml:space="preserve"> », </w:t></w:r><w:r><w:rPr><w:i w:val="1"/><w:iCs w:val="1"/></w:rPr><w:t xml:space="preserve">in</w:t></w:r><w:r><w:rPr/><w:t xml:space="preserve"> A. Miron et A. Pellet (dir.), </w:t></w:r><w:r><w:rPr><w:i w:val="1"/><w:iCs w:val="1"/></w:rPr><w:t xml:space="preserve">Les grands arrêts de la jurisprudence française de droit international public</w:t></w:r><w:r><w:rPr/><w:t xml:space="preserve">, Dalloz, Paris, 2015, pp. 21-30 et pp. 290-302.</w:t></w:r></w:p><w:p><w:pPr/><w:r><w:rPr/><w:t xml:space="preserve">« </w:t></w:r><w:r><w:rPr><w:b w:val="1"/><w:bCs w:val="1"/></w:rPr><w:t xml:space="preserve">L’évolution de la pratique française en matière de reconnaissance de gouvernement</w:t></w:r><w:r><w:rPr/><w:t xml:space="preserve"> », </w:t></w:r><w:r><w:rPr><w:i w:val="1"/><w:iCs w:val="1"/></w:rPr><w:t xml:space="preserve">AFDI</w:t></w:r><w:r><w:rPr/><w:t xml:space="preserve">, 2013.</w:t></w:r></w:p><w:p><w:pPr/><w:r><w:rPr/><w:t xml:space="preserve">« </w:t></w:r><w:r><w:rPr><w:b w:val="1"/><w:bCs w:val="1"/></w:rPr><w:t xml:space="preserve">Le déni de justice</w:t></w:r><w:r><w:rPr/><w:t xml:space="preserve"> », </w:t></w:r><w:r><w:rPr><w:i w:val="1"/><w:iCs w:val="1"/></w:rPr><w:t xml:space="preserve">in</w:t></w:r><w:r><w:rPr/><w:t xml:space="preserve"> I. Fadlallah, Ch. Leben, E. Teynier, « Investissements internationaux et arbitrage », </w:t></w:r><w:r><w:rPr><w:i w:val="1"/><w:iCs w:val="1"/></w:rPr><w:t xml:space="preserve">Cahiers de l’arbitrage</w:t></w:r><w:r><w:rPr/><w:t xml:space="preserve">, 2014.</w:t></w:r></w:p><w:p><w:pPr/><w:r><w:rPr/><w:t xml:space="preserve">« </w:t></w:r><w:r><w:rPr><w:b w:val="1"/><w:bCs w:val="1"/></w:rPr><w:t xml:space="preserve">Les Objectifs du Millénaire. Parfaits pour le quatrième</w:t></w:r><w:r><w:rPr/><w:t xml:space="preserve"> », </w:t></w:r><w:r><w:rPr><w:i w:val="1"/><w:iCs w:val="1"/></w:rPr><w:t xml:space="preserve">in</w:t></w:r><w:r><w:rPr/><w:t xml:space="preserve"> H. Ascensio, P. Bodeau-Livinec, M. Forteau, F. Latty, J.-M. Sorel, M. Ubéda-Saillard, </w:t></w:r><w:r><w:rPr><w:i w:val="1"/><w:iCs w:val="1"/></w:rPr><w:t xml:space="preserve">Dictionnaire des idées reçues en droit international</w:t></w:r><w:r><w:rPr/><w:t xml:space="preserve">, Pedone, Paris, 2017, pp. 397-402.</w:t></w:r></w:p><w:p><w:pPr/><w:r><w:rPr><w:b w:val="1"/><w:bCs w:val="1"/></w:rPr><w:t xml:space="preserve">« Carbon Capture and Storage in International Law</w:t></w:r><w:r><w:rPr/><w:t xml:space="preserve"> », à paraître.</w:t></w:r></w:p><w:p><w:pPr/><w:r><w:rPr><w:b w:val="1"/><w:bCs w:val="1"/></w:rPr><w:t xml:space="preserve">DIVERS</w:t></w:r></w:p><w:p><w:pPr/><w:r><w:rPr/><w:t xml:space="preserve">**Langues**</w:t></w:r></w:p><w:p><w:pPr/><w:r><w:rPr/><w:t xml:space="preserve">Anglais : courant, avec des qualifications spécifiques dans le domaine juridique Obtention en 2005 du </w:t></w:r><w:r><w:rPr><w:i w:val="1"/><w:iCs w:val="1"/></w:rPr><w:t xml:space="preserve">Certificat de Langues Appliquées aux Sciences Juridiques</w:t></w:r></w:p><w:p><w:pPr/><w:r><w:rPr/><w:t xml:space="preserve">Allemand : étudié durant huit années (lu, écrit, parlé)</w:t></w:r></w:p><w:p><w:pPr/><w:r><w:rPr/><w:t xml:space="preserve">Italien </w:t></w:r><w:r><w:rPr><w:b w:val="1"/><w:bCs w:val="1"/></w:rPr><w:t xml:space="preserve">:</w:t></w:r><w:r><w:rPr/><w:t xml:space="preserve"> étudié durant trois années (niveau scolaire)</w:t></w:r></w:p><w:p><w:pPr/><w:r><w:rPr/><w:t xml:space="preserve">**Traduction juridique**</w:t></w:r></w:p><w:p><w:pPr/><w:r><w:rPr/><w:t xml:space="preserve">Traduction d’une contribution de l’anglais vers le français : Antonio Cassese, « La nature de l’obligation violée », </w:t></w:r><w:r><w:rPr><w:i w:val="1"/><w:iCs w:val="1"/></w:rPr><w:t xml:space="preserve">in</w:t></w:r><w:r><w:rPr/><w:t xml:space="preserve"> P. Bodeau, A. Pellet, S. Szurek (dir.), </w:t></w:r><w:r><w:rPr><w:i w:val="1"/><w:iCs w:val="1"/></w:rPr><w:t xml:space="preserve">La responsabilité internationale</w:t></w:r><w:r><w:rPr/><w:t xml:space="preserve">, Pedone, Paris, 2011</w:t></w:r></w:p><w:p><w:pPr/><w:r><w:rPr/><w:t xml:space="preserve">**Autres activités académiques**</w:t></w:r></w:p><w:p><w:pPr/><w:r><w:rPr/><w:t xml:space="preserve">Membre de l’équipe </w:t></w:r><w:r><w:rPr><w:b w:val="1"/><w:bCs w:val="1"/></w:rPr><w:t xml:space="preserve">CHROME</w:t></w:r><w:r><w:rPr/><w:t xml:space="preserve">, Détection, évaluation, gestion des risques CHROniques et éMErgents – EA7352</w:t></w:r></w:p><w:p><w:pPr/><w:r><w:rPr/><w:t xml:space="preserve">Membre associé du </w:t></w:r><w:r><w:rPr><w:b w:val="1"/><w:bCs w:val="1"/></w:rPr><w:t xml:space="preserve">Centre de droit international de Nanterre</w:t></w:r><w:r><w:rPr/><w:t xml:space="preserve"> (CEDIN)</w:t></w:r></w:p><w:p><w:pPr/><w:r><w:rPr/><w:t xml:space="preserve">Membre de la </w:t></w:r><w:r><w:rPr><w:b w:val="1"/><w:bCs w:val="1"/></w:rPr><w:t xml:space="preserve">Société Française pour le Droit International</w:t></w:r><w:r><w:rPr/><w:t xml:space="preserve"> (SFDI)</w:t></w:r></w:p><w:p><w:pPr/><w:r><w:rPr/><w:t xml:space="preserve">Membre de la </w:t></w:r><w:r><w:rPr><w:b w:val="1"/><w:bCs w:val="1"/></w:rPr><w:t xml:space="preserve">Branche Française de l’</w:t></w:r><w:r><w:rPr><w:b w:val="1"/><w:bCs w:val="1"/><w:i w:val="1"/><w:iCs w:val="1"/></w:rPr><w:t xml:space="preserve">International Law Association</w:t></w:r><w:r><w:rPr/><w:t xml:space="preserve"> (ILA)</w:t></w:r></w:p><w:p><w:pPr/><w:r><w:rPr/><w:t xml:space="preserve">Membre de l’</w:t></w:r><w:r><w:rPr><w:b w:val="1"/><w:bCs w:val="1"/></w:rPr><w:t xml:space="preserve">Association française des docteurs en droit</w:t></w:r><w:r><w:rPr/><w:t xml:space="preserve"> (AFDD)</w:t></w:r></w:p><w:p><w:pPr/><w:r><w:rPr/><w:t xml:space="preserve">**Outils informatiques**</w:t></w:r></w:p><w:p><w:pPr/><w:r><w:rPr/><w:t xml:space="preserve">Microsoft Office ; Internet ; Endnote ; Bases de données juridiques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fuyante responsabilité de la communauté pour les dommages qu'elle cause : retour sur les affaires FIAMM et Fedon</w:t></w:r></w:hyperlink></w:p><w:p><w:pPr/><w:hyperlink r:id="rId8" w:history="1"><w:r><w:rPr><w:color w:val="#410a8c"/><w:u w:val="single"/></w:rPr><w:t xml:space="preserve">Olivia Danic</w:t></w:r></w:hyperlink></w:p><w:p><w:pPr/><w:r><w:rPr><w:i w:val="1"/><w:iCs w:val="1"/></w:rPr><w:t xml:space="preserve">Revue de l'Union européenne</w:t></w:r><w:r><w:rPr/><w:t xml:space="preserve">, 2010, 535, pp.128</w:t></w:r></w:p><w:p><w:pPr/><w:r><w:rPr/><w:t xml:space="preserve">Article dans une revue</w:t></w:r></w:p><w:p><w:pPr/><w:hyperlink r:id="rId7" w:history="1"><w:r><w:rPr><w:color w:val="#410a8c"/><w:u w:val="single"/></w:rPr><w:t xml:space="preserve">halshs-02202573v1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L'EMERGENCE D'UN DROIT INTERNATIONAL DES INVESTISSEMENTS Contribution des traités bilatéraux d'investissement et de la jurisprudence du CIRDI</w:t></w:r></w:hyperlink></w:p><w:p><w:pPr/><w:hyperlink r:id="rId8" w:history="1"><w:r><w:rPr><w:color w:val="#410a8c"/><w:u w:val="single"/></w:rPr><w:t xml:space="preserve">Olivia Danic</w:t></w:r></w:hyperlink></w:p><w:p><w:pPr/><w:r><w:rPr/><w:t xml:space="preserve">Droit. Université Paris 10 Nanterre, 2012. Français. </w:t></w:r><w:hyperlink r:id="rId10" w:history="1"><w:r><w:rPr><w:color w:val="#410a8c"/><w:u w:val="single"/></w:rPr><w:t xml:space="preserve">⟨NNT : ⟩</w:t></w:r></w:hyperlink></w:p><w:p><w:pPr/><w:r><w:rPr/><w:t xml:space="preserve">Thèse</w:t></w:r></w:p><w:p><w:pPr/><w:hyperlink r:id="rId9" w:history="1"><w:r><w:rPr><w:color w:val="#410a8c"/><w:u w:val="single"/></w:rPr><w:t xml:space="preserve">tel-02166275v1</w:t></w:r></w:hyperlink></w:p></w:tc></w:tr></w:tbl><w:sectPr><w:footerReference w:type="default" r:id="rId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202573v1" TargetMode="External"/><Relationship Id="rId8" Type="http://schemas.openxmlformats.org/officeDocument/2006/relationships/hyperlink" Target="https://hal.science/search/index/?q=*&amp;authFullName_s=Olivia Danic" TargetMode="External"/><Relationship Id="rId9" Type="http://schemas.openxmlformats.org/officeDocument/2006/relationships/hyperlink" Target="https://hal.science/tel-02166275v1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Danic</dc:title>
  <dc:description>CV</dc:description>
  <dc:subject/>
  <cp:keywords/>
  <cp:category/>
  <cp:lastModifiedBy/>
  <dcterms:created xsi:type="dcterms:W3CDTF">2026-03-22T18:24:52+01:00</dcterms:created>
  <dcterms:modified xsi:type="dcterms:W3CDTF">2026-03-22T18:24:52+01:00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