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AZAM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L’accent tonique en vieux russe. Drevnerusskoe udarenie. Obščie svedenija i slovar′ d’A. A. Zaliznjak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livres pour comprendre la Russie et les Etats issus de son empire, sous la direction de Victoire Feuillebois (Université de Strasbourg, Groupe d’études orientales, slaves et néo-hélléniques)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Изображение произношения французского языка XVIII века в фонетической части русского перевода «Французской грамматики» Пеплиера. Несколько замечаний о предлагаемой картине.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Azam</w:t>
              </w:r>
            </w:hyperlink>
          </w:p>
          <w:p>
            <w:pPr/>
            <w:r>
              <w:rPr/>
              <w:t xml:space="preserve">Институт Русского Языка Российской Академии Наук / Académie des Sciences de Russie, Institut de la langue russe. </w:t>
            </w:r>
            <w:r>
              <w:rPr>
                <w:i w:val="1"/>
                <w:iCs w:val="1"/>
              </w:rPr>
              <w:t xml:space="preserve">Сборник научных статей к 60-летию Вадима Борисовича Крысько</w:t>
            </w:r>
            <w:r>
              <w:rPr/>
              <w:t xml:space="preserve">, pp.11-46, 2021, 978-5-91172-215-9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Mono-orienté vs. non mono-orienté et imperfectif vs. perfectif : l’articulation complexe de deux catégories grammaticales à la lumière des spécificités aspectuelles de certaines formes de verbes de déplacement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Azam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Études de linguistique slave. Mélanges offerts à Robert Roudet</w:t>
            </w:r>
            <w:r>
              <w:rPr/>
              <w:t xml:space="preserve">, pp.27-58, 2020, 978-2-8107-0656-3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d'expression de la cause en vieux russe littéraire ancien dans la Pověst' vremennyx lět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Azam</w:t>
              </w:r>
            </w:hyperlink>
          </w:p>
          <w:p>
            <w:pPr/>
            <w:r>
              <w:rPr/>
              <w:t xml:space="preserve">Celiso. </w:t>
            </w:r>
            <w:r>
              <w:rPr>
                <w:i w:val="1"/>
                <w:iCs w:val="1"/>
              </w:rPr>
              <w:t xml:space="preserve">La Grammaire de la Cause II. Actes du colloque international organisé par Stéphane Viellard et Irina Thomières, le 25 et le 26 mai 2018</w:t>
            </w:r>
            <w:r>
              <w:rPr/>
              <w:t xml:space="preserve">, pp.19-39,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Совершенный вид глагола класса «verba manendi» остаться и выражение продолжительности. К объяснению парадоксальной сочетаемости.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Русский язык: исторические судьбы и современность. VI международный конгресс исследователей русского языка, Москва, МГУ, 20-23 марта 2019. Труды и материалы. / Russian Language: Its Historical Destiny and Present State. International Congress of Russian Language Researchers, Moscow, Moscow State University, March 20-23, 2019. Proceedings and Materials, Moscow University Press, 2019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hal-03979621v1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Синтаксическое значение предикативного употребления полной формы имени прилагательного в именительном падеже и его семантические следствия.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Грамматические процессы и системы в синхронии и диахронии</w:t>
            </w:r>
            <w:r>
              <w:rPr/>
              <w:t xml:space="preserve">, Académie des Sciences de Russie - Commission grammaticale de l'Académie des Sciences de Russie - Institut de la langue russe / Грамматическая комиссия РАН - Институт Русского Языка им. В.В. Виноградова, Jun 2022, Москва /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et formes de vie. Nicolas Gogol.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L'incertitude. La nuit de l'ENS - Festival Sciences et Lettres</w:t>
            </w:r>
            <w:r>
              <w:rPr/>
              <w:t xml:space="preserve">, École normale supérieure - PSL,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Objectivité et subjectivité des critères du choix de l’aspect en russe. Des choix contraints aux cas de concurrence des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sur l'aspect : du « modèle slave » vers les autres langues</w:t>
            </w:r>
            <w:r>
              <w:rPr/>
              <w:t xml:space="preserve">, Sorbonne Université, Université de Paris, Sorbonne Nouvelle, Apr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 понятии «хронопойэсис» как микрограмматике употребления видов русского глагола в повествовании. Научный и дидактический вклад французского русиста и лингвиста Жана-Поля Семона (1934-2015) в русскую аспектологию.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 международная филологическая научная конференция. Санкт-Петербургский государственный университет, 19-28 марта 2018. Русский язык. Актуальные вопросы изучения грамматики.</w:t>
            </w:r>
            <w:r>
              <w:rPr/>
              <w:t xml:space="preserve">, Université d'État de Saint-Pétersbourg, Mar 2018,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d’exprimer la finalité en vieux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Grammaire et finalité</w:t>
            </w:r>
            <w:r>
              <w:rPr/>
              <w:t xml:space="preserve">, CeLiSo, Dec 2017, Paris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hal-03979573v1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9627v1" TargetMode="External"/><Relationship Id="rId8" Type="http://schemas.openxmlformats.org/officeDocument/2006/relationships/hyperlink" Target="https://hal.science/search/index/?q=*&amp;authFullName_s=Olivier Azam" TargetMode="External"/><Relationship Id="rId9" Type="http://schemas.openxmlformats.org/officeDocument/2006/relationships/hyperlink" Target="https://hal.science/hal-03979530v1" TargetMode="External"/><Relationship Id="rId10" Type="http://schemas.openxmlformats.org/officeDocument/2006/relationships/hyperlink" Target="https://hal.science/hal-03979479v1" TargetMode="External"/><Relationship Id="rId11" Type="http://schemas.openxmlformats.org/officeDocument/2006/relationships/hyperlink" Target="https://hal.science/hal-03979562v1" TargetMode="External"/><Relationship Id="rId12" Type="http://schemas.openxmlformats.org/officeDocument/2006/relationships/hyperlink" Target="https://hal.science/hal-03979621v1" TargetMode="External"/><Relationship Id="rId13" Type="http://schemas.openxmlformats.org/officeDocument/2006/relationships/hyperlink" Target="https://hal.science/hal-03979652v1" TargetMode="External"/><Relationship Id="rId14" Type="http://schemas.openxmlformats.org/officeDocument/2006/relationships/hyperlink" Target="https://hal.science/hal-03979638v1" TargetMode="External"/><Relationship Id="rId15" Type="http://schemas.openxmlformats.org/officeDocument/2006/relationships/hyperlink" Target="https://hal.science/hal-03979570v1" TargetMode="External"/><Relationship Id="rId16" Type="http://schemas.openxmlformats.org/officeDocument/2006/relationships/hyperlink" Target="https://hal.science/hal-03979601v1" TargetMode="External"/><Relationship Id="rId17" Type="http://schemas.openxmlformats.org/officeDocument/2006/relationships/hyperlink" Target="https://hal.science/hal-03979573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AZAM</dc:title>
  <dc:description>CV</dc:description>
  <dc:subject/>
  <cp:keywords/>
  <cp:category/>
  <cp:lastModifiedBy/>
  <dcterms:created xsi:type="dcterms:W3CDTF">2026-03-07T06:31:04+01:00</dcterms:created>
  <dcterms:modified xsi:type="dcterms:W3CDTF">2026-03-07T06:31:04+01:00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