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Ranzini </w:t>
      </w:r>
      <w:r>
        <w:rPr>
          <w:color w:val="641e6e"/>
        </w:rPr>
        <w:t xml:space="preserve">Avignon Université, Professeure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au théâtre et mises en scène historiques : des archives à la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Ranzini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dello spettacolo / Performing Arts</w:t>
            </w:r>
            <w:r>
              <w:rPr/>
              <w:t xml:space="preserve">, 2025, Digital Innovation in the Performing Arts,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hal-05354249v1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54249v1" TargetMode="External"/><Relationship Id="rId8" Type="http://schemas.openxmlformats.org/officeDocument/2006/relationships/hyperlink" Target="https://hal.science/search/index/?q=*&amp;authFullName_s=Paola Ranzini" TargetMode="External"/><Relationship Id="rId9" Type="http://schemas.openxmlformats.org/officeDocument/2006/relationships/hyperlink" Target="https://hal.science/search/index/?q=*&amp;authFullName_s=R&#233;mi Ronfard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Ranzini</dc:title>
  <dc:description>CV</dc:description>
  <dc:subject/>
  <cp:keywords/>
  <cp:category/>
  <cp:lastModifiedBy/>
  <dcterms:created xsi:type="dcterms:W3CDTF">2026-05-27T06:32:39+02:00</dcterms:created>
  <dcterms:modified xsi:type="dcterms:W3CDTF">2026-05-27T06:32:39+02:00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