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Astolfi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HDR à l'Université Paris 1 - Panthéon Sorbonne, Pierre Astolfi est responsable du Master Ingénierie financière. Il y enseigne la comptabilité IFRS ainsi que l'évaluaton d'entreprises.</w:t>
      </w:r>
    </w:p>
    <w:p>
      <w:pPr/>
      <w:r>
        <w:rPr/>
        <w:t xml:space="preserve">Ses travaux s'intéressent notamment :</w:t>
      </w:r>
    </w:p>
    <w:p>
      <w:pPr/>
      <w:r>
        <w:rPr/>
        <w:t xml:space="preserve">- à la façon dont les investisseurs et les analystes financiers réagissent aux informations communiquées dans les états financiers consolidés publiés en application des normes IFRS complexes, s'agissant spécialement des immobilisations incorporelles reconnues dans un contexte de regroupement d'entreprises;</w:t>
      </w:r>
    </w:p>
    <w:p>
      <w:pPr/>
      <w:r>
        <w:rPr/>
        <w:t xml:space="preserve">- à la pratique de l'évaluation d'entreprises et aux difficultés de mise en eouvre des méthodes d'évaluation généralement privilégiées.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Valuation and discount rates under IFRS: Does a size premium exist on the French market?</w:t>
              </w:r>
            </w:hyperlink>
          </w:p>
          <w:p>
            <w:pPr/>
            <w:hyperlink r:id="rId8" w:history="1">
              <w:r>
                <w:rPr>
                  <w:color w:val="#410a8c"/>
                  <w:u w:val="single"/>
                </w:rPr>
                <w:t xml:space="preserve">Arnaud Thauvron</w:t>
              </w:r>
            </w:hyperlink>
            <w:r>
              <w:rPr/>
              <w:t xml:space="preserve">,</w:t>
            </w:r>
            <w:hyperlink r:id="rId9" w:history="1">
              <w:r>
                <w:rPr>
                  <w:color w:val="#410a8c"/>
                  <w:u w:val="single"/>
                </w:rPr>
                <w:t xml:space="preserve">Pierre Astolfi</w:t>
              </w:r>
            </w:hyperlink>
            <w:r>
              <w:rPr/>
              <w:t xml:space="preserve">,</w:t>
            </w:r>
            <w:hyperlink r:id="rId10" w:history="1">
              <w:r>
                <w:rPr>
                  <w:color w:val="#410a8c"/>
                  <w:u w:val="single"/>
                </w:rPr>
                <w:t xml:space="preserve">Marc Desban</w:t>
              </w:r>
            </w:hyperlink>
          </w:p>
          <w:p>
            <w:pPr/>
            <w:r>
              <w:rPr>
                <w:i w:val="1"/>
                <w:iCs w:val="1"/>
              </w:rPr>
              <w:t xml:space="preserve">Comptabilité Contrôle Audit / Accounting Auditing Control</w:t>
            </w:r>
            <w:r>
              <w:rPr/>
              <w:t xml:space="preserve">, 2022, 4 (28)</w:t>
            </w:r>
          </w:p>
          <w:p>
            <w:pPr/>
            <w:r>
              <w:rPr/>
              <w:t xml:space="preserve">Article dans une revue</w:t>
            </w:r>
          </w:p>
          <w:p>
            <w:pPr/>
            <w:hyperlink r:id="rId7" w:history="1">
              <w:r>
                <w:rPr>
                  <w:color w:val="#410a8c"/>
                  <w:u w:val="single"/>
                </w:rPr>
                <w:t xml:space="preserve">hal-03890131v1</w:t>
              </w:r>
            </w:hyperlink>
          </w:p>
        </w:tc>
      </w:tr>
      <w:tr>
        <w:trPr/>
        <w:tc>
          <w:tcPr>
            <w:noWrap/>
          </w:tcPr>
          <w:p>
            <w:pPr>
              <w:spacing w:after="200"/>
            </w:pPr>
            <w:hyperlink r:id="rId11" w:history="1">
              <w:r>
                <w:rPr>
                  <w:color w:val="1e198e"/>
                  <w:b w:val="1"/>
                  <w:bCs w:val="1"/>
                  <w:u w:val="single"/>
                </w:rPr>
                <w:t xml:space="preserve">Did the International Financial Reporting Standards Increase the Audit Expectation Gap? An Exploratory Study</w:t>
              </w:r>
            </w:hyperlink>
          </w:p>
          <w:p>
            <w:pPr/>
            <w:hyperlink r:id="rId9" w:history="1">
              <w:r>
                <w:rPr>
                  <w:color w:val="#410a8c"/>
                  <w:u w:val="single"/>
                </w:rPr>
                <w:t xml:space="preserve">Pierre Astolfi</w:t>
              </w:r>
            </w:hyperlink>
          </w:p>
          <w:p>
            <w:pPr/>
            <w:r>
              <w:rPr>
                <w:i w:val="1"/>
                <w:iCs w:val="1"/>
              </w:rPr>
              <w:t xml:space="preserve">Accounting in Europe</w:t>
            </w:r>
            <w:r>
              <w:rPr/>
              <w:t xml:space="preserve">, 2021, 18 (2), pp.166-195. </w:t>
            </w:r>
            <w:hyperlink r:id="rId12" w:history="1">
              <w:r>
                <w:rPr>
                  <w:color w:val="#410a8c"/>
                  <w:u w:val="single"/>
                </w:rPr>
                <w:t xml:space="preserve">⟨10.1080/17449480.2020.1865549⟩</w:t>
              </w:r>
            </w:hyperlink>
          </w:p>
          <w:p>
            <w:pPr/>
            <w:r>
              <w:rPr/>
              <w:t xml:space="preserve">Article dans une revue</w:t>
            </w:r>
          </w:p>
          <w:p>
            <w:pPr/>
            <w:hyperlink r:id="rId11" w:history="1">
              <w:r>
                <w:rPr>
                  <w:color w:val="#410a8c"/>
                  <w:u w:val="single"/>
                </w:rPr>
                <w:t xml:space="preserve">hal-03712181v1</w:t>
              </w:r>
            </w:hyperlink>
          </w:p>
        </w:tc>
      </w:tr>
      <w:tr>
        <w:trPr/>
        <w:tc>
          <w:tcPr>
            <w:noWrap/>
          </w:tcPr>
          <w:p>
            <w:pPr>
              <w:spacing w:after="200"/>
            </w:pPr>
            <w:hyperlink r:id="rId13" w:history="1">
              <w:r>
                <w:rPr>
                  <w:color w:val="1e198e"/>
                  <w:b w:val="1"/>
                  <w:bCs w:val="1"/>
                  <w:u w:val="single"/>
                </w:rPr>
                <w:t xml:space="preserve">The usefulness of intangible assets’ disclosure for financial analysts. Insights from Purchase Price Allocation conditional on deal quality</w:t>
              </w:r>
            </w:hyperlink>
          </w:p>
          <w:p>
            <w:pPr/>
            <w:hyperlink r:id="rId14" w:history="1">
              <w:r>
                <w:rPr>
                  <w:color w:val="#410a8c"/>
                  <w:u w:val="single"/>
                </w:rPr>
                <w:t xml:space="preserve">Anne Jeny</w:t>
              </w:r>
            </w:hyperlink>
            <w:r>
              <w:rPr/>
              <w:t xml:space="preserve">,</w:t>
            </w:r>
            <w:hyperlink r:id="rId15" w:history="1">
              <w:r>
                <w:rPr>
                  <w:color w:val="#410a8c"/>
                  <w:u w:val="single"/>
                </w:rPr>
                <w:t xml:space="preserve">Luc Paugam</w:t>
              </w:r>
            </w:hyperlink>
            <w:r>
              <w:rPr/>
              <w:t xml:space="preserve">,</w:t>
            </w:r>
            <w:hyperlink r:id="rId9" w:history="1">
              <w:r>
                <w:rPr>
                  <w:color w:val="#410a8c"/>
                  <w:u w:val="single"/>
                </w:rPr>
                <w:t xml:space="preserve">Pierre Astolfi</w:t>
              </w:r>
            </w:hyperlink>
          </w:p>
          <w:p>
            <w:pPr/>
            <w:r>
              <w:rPr>
                <w:i w:val="1"/>
                <w:iCs w:val="1"/>
              </w:rPr>
              <w:t xml:space="preserve">Comptabilité Contrôle Audit / Accounting Auditing Control</w:t>
            </w:r>
            <w:r>
              <w:rPr/>
              <w:t xml:space="preserve">, 2019, Tome 25 (2), pp.5-53. </w:t>
            </w:r>
            <w:hyperlink r:id="rId16" w:history="1">
              <w:r>
                <w:rPr>
                  <w:color w:val="#410a8c"/>
                  <w:u w:val="single"/>
                </w:rPr>
                <w:t xml:space="preserve">⟨10.3917/cca.252.0005⟩</w:t>
              </w:r>
            </w:hyperlink>
          </w:p>
          <w:p>
            <w:pPr/>
            <w:r>
              <w:rPr/>
              <w:t xml:space="preserve">Article dans une revue</w:t>
            </w:r>
          </w:p>
          <w:p>
            <w:pPr/>
            <w:hyperlink r:id="rId13" w:history="1">
              <w:r>
                <w:rPr>
                  <w:color w:val="#410a8c"/>
                  <w:u w:val="single"/>
                </w:rPr>
                <w:t xml:space="preserve">hal-03712183v1</w:t>
              </w:r>
            </w:hyperlink>
          </w:p>
        </w:tc>
      </w:tr>
      <w:tr>
        <w:trPr/>
        <w:tc>
          <w:tcPr>
            <w:noWrap/>
          </w:tcPr>
          <w:p>
            <w:pPr>
              <w:spacing w:after="200"/>
            </w:pPr>
            <w:hyperlink r:id="rId17" w:history="1">
              <w:r>
                <w:rPr>
                  <w:color w:val="1e198e"/>
                  <w:b w:val="1"/>
                  <w:bCs w:val="1"/>
                  <w:u w:val="single"/>
                </w:rPr>
                <w:t xml:space="preserve">The Effect of Business and Financial Market Cycles on Credit Ratings: Evidence from the Last Two Decades</w:t>
              </w:r>
            </w:hyperlink>
          </w:p>
          <w:p>
            <w:pPr/>
            <w:hyperlink r:id="rId18" w:history="1">
              <w:r>
                <w:rPr>
                  <w:color w:val="#410a8c"/>
                  <w:u w:val="single"/>
                </w:rPr>
                <w:t xml:space="preserve">Gerald Lobo</w:t>
              </w:r>
            </w:hyperlink>
            <w:r>
              <w:rPr/>
              <w:t xml:space="preserve">,</w:t>
            </w:r>
            <w:hyperlink r:id="rId15" w:history="1">
              <w:r>
                <w:rPr>
                  <w:color w:val="#410a8c"/>
                  <w:u w:val="single"/>
                </w:rPr>
                <w:t xml:space="preserve">Luc Paugam</w:t>
              </w:r>
            </w:hyperlink>
            <w:r>
              <w:rPr/>
              <w:t xml:space="preserve">,</w:t>
            </w:r>
            <w:hyperlink r:id="rId19" w:history="1">
              <w:r>
                <w:rPr>
                  <w:color w:val="#410a8c"/>
                  <w:u w:val="single"/>
                </w:rPr>
                <w:t xml:space="preserve">Hervé Stolowy</w:t>
              </w:r>
            </w:hyperlink>
            <w:r>
              <w:rPr/>
              <w:t xml:space="preserve">,</w:t>
            </w:r>
            <w:hyperlink r:id="rId9" w:history="1">
              <w:r>
                <w:rPr>
                  <w:color w:val="#410a8c"/>
                  <w:u w:val="single"/>
                </w:rPr>
                <w:t xml:space="preserve">Pierre Astolfi</w:t>
              </w:r>
            </w:hyperlink>
          </w:p>
          <w:p>
            <w:pPr/>
            <w:r>
              <w:rPr>
                <w:i w:val="1"/>
                <w:iCs w:val="1"/>
              </w:rPr>
              <w:t xml:space="preserve">Abacus</w:t>
            </w:r>
            <w:r>
              <w:rPr/>
              <w:t xml:space="preserve">, 2017, 53 (1), pp.59-93. </w:t>
            </w:r>
            <w:hyperlink r:id="rId20" w:history="1">
              <w:r>
                <w:rPr>
                  <w:color w:val="#410a8c"/>
                  <w:u w:val="single"/>
                </w:rPr>
                <w:t xml:space="preserve">⟨10.1111/abac.12096⟩</w:t>
              </w:r>
            </w:hyperlink>
          </w:p>
          <w:p>
            <w:pPr/>
            <w:r>
              <w:rPr/>
              <w:t xml:space="preserve">Article dans une revue</w:t>
            </w:r>
          </w:p>
          <w:p>
            <w:pPr/>
            <w:hyperlink r:id="rId17" w:history="1">
              <w:r>
                <w:rPr>
                  <w:color w:val="#410a8c"/>
                  <w:u w:val="single"/>
                </w:rPr>
                <w:t xml:space="preserve">hal-03712182v1</w:t>
              </w:r>
            </w:hyperlink>
          </w:p>
        </w:tc>
      </w:tr>
      <w:tr>
        <w:trPr/>
        <w:tc>
          <w:tcPr>
            <w:noWrap/>
          </w:tcPr>
          <w:p>
            <w:pPr>
              <w:spacing w:after="200"/>
            </w:pPr>
            <w:hyperlink r:id="rId21" w:history="1">
              <w:r>
                <w:rPr>
                  <w:color w:val="1e198e"/>
                  <w:b w:val="1"/>
                  <w:bCs w:val="1"/>
                  <w:u w:val="single"/>
                </w:rPr>
                <w:t xml:space="preserve">Accounting for business combinations: Do purchase price allocations matter?</w:t>
              </w:r>
            </w:hyperlink>
          </w:p>
          <w:p>
            <w:pPr/>
            <w:hyperlink r:id="rId15" w:history="1">
              <w:r>
                <w:rPr>
                  <w:color w:val="#410a8c"/>
                  <w:u w:val="single"/>
                </w:rPr>
                <w:t xml:space="preserve">Luc Paugam</w:t>
              </w:r>
            </w:hyperlink>
            <w:r>
              <w:rPr/>
              <w:t xml:space="preserve">,</w:t>
            </w:r>
            <w:hyperlink r:id="rId9" w:history="1">
              <w:r>
                <w:rPr>
                  <w:color w:val="#410a8c"/>
                  <w:u w:val="single"/>
                </w:rPr>
                <w:t xml:space="preserve">Pierre Astolfi</w:t>
              </w:r>
            </w:hyperlink>
            <w:r>
              <w:rPr/>
              <w:t xml:space="preserve">,</w:t>
            </w:r>
            <w:hyperlink r:id="rId22" w:history="1">
              <w:r>
                <w:rPr>
                  <w:color w:val="#410a8c"/>
                  <w:u w:val="single"/>
                </w:rPr>
                <w:t xml:space="preserve">Olivier Ramond</w:t>
              </w:r>
            </w:hyperlink>
          </w:p>
          <w:p>
            <w:pPr/>
            <w:r>
              <w:rPr>
                <w:i w:val="1"/>
                <w:iCs w:val="1"/>
              </w:rPr>
              <w:t xml:space="preserve">Journal of Accounting and Public Policy</w:t>
            </w:r>
            <w:r>
              <w:rPr/>
              <w:t xml:space="preserve">, 2015, 34 (4), </w:t>
            </w:r>
            <w:hyperlink r:id="rId23" w:history="1">
              <w:r>
                <w:rPr>
                  <w:color w:val="#410a8c"/>
                  <w:u w:val="single"/>
                </w:rPr>
                <w:t xml:space="preserve">⟨10.1016/j.jaccpubpol.2015.04.003⟩</w:t>
              </w:r>
            </w:hyperlink>
          </w:p>
          <w:p>
            <w:pPr/>
            <w:r>
              <w:rPr/>
              <w:t xml:space="preserve">Article dans une revue</w:t>
            </w:r>
          </w:p>
          <w:p>
            <w:pPr/>
            <w:hyperlink r:id="rId21" w:history="1">
              <w:r>
                <w:rPr>
                  <w:color w:val="#410a8c"/>
                  <w:u w:val="single"/>
                </w:rPr>
                <w:t xml:space="preserve">hal-01277376v1</w:t>
              </w:r>
            </w:hyperlink>
          </w:p>
        </w:tc>
      </w:tr>
      <w:tr>
        <w:trPr/>
        <w:tc>
          <w:tcPr>
            <w:noWrap/>
          </w:tcPr>
          <w:p>
            <w:pPr>
              <w:spacing w:after="200"/>
            </w:pPr>
            <w:hyperlink r:id="rId24" w:history="1">
              <w:r>
                <w:rPr>
                  <w:color w:val="1e198e"/>
                  <w:b w:val="1"/>
                  <w:bCs w:val="1"/>
                  <w:u w:val="single"/>
                </w:rPr>
                <w:t xml:space="preserve">Méthode des multiples. Contribution à l’évaluation des entreprises</w:t>
              </w:r>
            </w:hyperlink>
          </w:p>
          <w:p>
            <w:pPr/>
            <w:hyperlink r:id="rId9" w:history="1">
              <w:r>
                <w:rPr>
                  <w:color w:val="#410a8c"/>
                  <w:u w:val="single"/>
                </w:rPr>
                <w:t xml:space="preserve">Pierre Astolfi</w:t>
              </w:r>
            </w:hyperlink>
            <w:r>
              <w:rPr/>
              <w:t xml:space="preserve">,</w:t>
            </w:r>
            <w:hyperlink r:id="rId25" w:history="1">
              <w:r>
                <w:rPr>
                  <w:color w:val="#410a8c"/>
                  <w:u w:val="single"/>
                </w:rPr>
                <w:t xml:space="preserve">Edouard Chastenet</w:t>
              </w:r>
            </w:hyperlink>
            <w:r>
              <w:rPr/>
              <w:t xml:space="preserve">,</w:t>
            </w:r>
            <w:hyperlink r:id="rId26" w:history="1">
              <w:r>
                <w:rPr>
                  <w:color w:val="#410a8c"/>
                  <w:u w:val="single"/>
                </w:rPr>
                <w:t xml:space="preserve">Alain Marion</w:t>
              </w:r>
            </w:hyperlink>
            <w:r>
              <w:rPr/>
              <w:t xml:space="preserve">,</w:t>
            </w:r>
            <w:hyperlink r:id="rId8" w:history="1">
              <w:r>
                <w:rPr>
                  <w:color w:val="#410a8c"/>
                  <w:u w:val="single"/>
                </w:rPr>
                <w:t xml:space="preserve">Arnaud Thauvron</w:t>
              </w:r>
            </w:hyperlink>
          </w:p>
          <w:p>
            <w:pPr/>
            <w:r>
              <w:rPr>
                <w:i w:val="1"/>
                <w:iCs w:val="1"/>
              </w:rPr>
              <w:t xml:space="preserve">Revue Française de Gestion</w:t>
            </w:r>
            <w:r>
              <w:rPr/>
              <w:t xml:space="preserve">, 2014, 40 (242), pp.83 - 101. </w:t>
            </w:r>
            <w:hyperlink r:id="rId27" w:history="1">
              <w:r>
                <w:rPr>
                  <w:color w:val="#410a8c"/>
                  <w:u w:val="single"/>
                </w:rPr>
                <w:t xml:space="preserve">⟨10.3166/RFG.242.83-101⟩</w:t>
              </w:r>
            </w:hyperlink>
          </w:p>
          <w:p>
            <w:pPr/>
            <w:r>
              <w:rPr/>
              <w:t xml:space="preserve">Article dans une revue</w:t>
            </w:r>
          </w:p>
          <w:p>
            <w:pPr/>
            <w:hyperlink r:id="rId24" w:history="1">
              <w:r>
                <w:rPr>
                  <w:color w:val="#410a8c"/>
                  <w:u w:val="single"/>
                </w:rPr>
                <w:t xml:space="preserve">hal-00965164v1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Valuation and discount rate under IFRS: Does a size premium exist on the French market?</w:t>
              </w:r>
            </w:hyperlink>
          </w:p>
          <w:p>
            <w:pPr/>
            <w:hyperlink r:id="rId10" w:history="1">
              <w:r>
                <w:rPr>
                  <w:color w:val="#410a8c"/>
                  <w:u w:val="single"/>
                </w:rPr>
                <w:t xml:space="preserve">Marc Desban</w:t>
              </w:r>
            </w:hyperlink>
            <w:r>
              <w:rPr/>
              <w:t xml:space="preserve">,</w:t>
            </w:r>
            <w:hyperlink r:id="rId8" w:history="1">
              <w:r>
                <w:rPr>
                  <w:color w:val="#410a8c"/>
                  <w:u w:val="single"/>
                </w:rPr>
                <w:t xml:space="preserve">Arnaud Thauvron</w:t>
              </w:r>
            </w:hyperlink>
            <w:r>
              <w:rPr/>
              <w:t xml:space="preserve">,</w:t>
            </w:r>
            <w:hyperlink r:id="rId9" w:history="1">
              <w:r>
                <w:rPr>
                  <w:color w:val="#410a8c"/>
                  <w:u w:val="single"/>
                </w:rPr>
                <w:t xml:space="preserve">Pierre Astolfi</w:t>
              </w:r>
            </w:hyperlink>
          </w:p>
          <w:p>
            <w:pPr/>
            <w:r>
              <w:rPr>
                <w:i w:val="1"/>
                <w:iCs w:val="1"/>
              </w:rPr>
              <w:t xml:space="preserve">1st Annual Conference Comptabilité Contrôle Audit</w:t>
            </w:r>
            <w:r>
              <w:rPr/>
              <w:t xml:space="preserve">, Feb 2022, Champéry, Switzerland</w:t>
            </w:r>
          </w:p>
          <w:p>
            <w:pPr/>
            <w:r>
              <w:rPr/>
              <w:t xml:space="preserve">Communication dans un congrès</w:t>
            </w:r>
          </w:p>
          <w:p>
            <w:pPr/>
            <w:hyperlink r:id="rId28" w:history="1">
              <w:r>
                <w:rPr>
                  <w:color w:val="#410a8c"/>
                  <w:u w:val="single"/>
                </w:rPr>
                <w:t xml:space="preserve">hal-03560826v1</w:t>
              </w:r>
            </w:hyperlink>
          </w:p>
        </w:tc>
      </w:tr>
      <w:tr>
        <w:trPr/>
        <w:tc>
          <w:tcPr>
            <w:noWrap/>
          </w:tcPr>
          <w:p>
            <w:pPr>
              <w:spacing w:after="200"/>
            </w:pPr>
            <w:hyperlink r:id="rId29" w:history="1">
              <w:r>
                <w:rPr>
                  <w:color w:val="1e198e"/>
                  <w:b w:val="1"/>
                  <w:bCs w:val="1"/>
                  <w:u w:val="single"/>
                </w:rPr>
                <w:t xml:space="preserve">Illiquidité et contexte de crise des marchés financiers - Un risque sous-estimé ?</w:t>
              </w:r>
            </w:hyperlink>
          </w:p>
          <w:p>
            <w:pPr/>
            <w:hyperlink r:id="rId9" w:history="1">
              <w:r>
                <w:rPr>
                  <w:color w:val="#410a8c"/>
                  <w:u w:val="single"/>
                </w:rPr>
                <w:t xml:space="preserve">Pierre Astolfi</w:t>
              </w:r>
            </w:hyperlink>
            <w:r>
              <w:rPr/>
              <w:t xml:space="preserve">,</w:t>
            </w:r>
            <w:hyperlink r:id="rId8" w:history="1">
              <w:r>
                <w:rPr>
                  <w:color w:val="#410a8c"/>
                  <w:u w:val="single"/>
                </w:rPr>
                <w:t xml:space="preserve">Arnaud Thauvron</w:t>
              </w:r>
            </w:hyperlink>
            <w:r>
              <w:rPr/>
              <w:t xml:space="preserve">,</w:t>
            </w:r>
            <w:hyperlink r:id="rId10" w:history="1">
              <w:r>
                <w:rPr>
                  <w:color w:val="#410a8c"/>
                  <w:u w:val="single"/>
                </w:rPr>
                <w:t xml:space="preserve">Marc Desban</w:t>
              </w:r>
            </w:hyperlink>
            <w:r>
              <w:rPr/>
              <w:t xml:space="preserve">,</w:t>
            </w:r>
            <w:hyperlink r:id="rId30" w:history="1">
              <w:r>
                <w:rPr>
                  <w:color w:val="#410a8c"/>
                  <w:u w:val="single"/>
                </w:rPr>
                <w:t xml:space="preserve">Sylvie Lecarpentier-Moyal</w:t>
              </w:r>
            </w:hyperlink>
          </w:p>
          <w:p>
            <w:pPr/>
            <w:r>
              <w:rPr>
                <w:i w:val="1"/>
                <w:iCs w:val="1"/>
              </w:rPr>
              <w:t xml:space="preserve">Association Francophone de Comptabilité (AFC)</w:t>
            </w:r>
            <w:r>
              <w:rPr/>
              <w:t xml:space="preserve">, May 2019, Paris, France</w:t>
            </w:r>
          </w:p>
          <w:p>
            <w:pPr/>
            <w:r>
              <w:rPr/>
              <w:t xml:space="preserve">Communication dans un congrès</w:t>
            </w:r>
          </w:p>
          <w:p>
            <w:pPr/>
            <w:hyperlink r:id="rId29" w:history="1">
              <w:r>
                <w:rPr>
                  <w:color w:val="#410a8c"/>
                  <w:u w:val="single"/>
                </w:rPr>
                <w:t xml:space="preserve">hal-02359093v1</w:t>
              </w:r>
            </w:hyperlink>
          </w:p>
        </w:tc>
      </w:tr>
      <w:tr>
        <w:trPr/>
        <w:tc>
          <w:tcPr>
            <w:noWrap/>
          </w:tcPr>
          <w:p>
            <w:pPr>
              <w:spacing w:after="200"/>
            </w:pPr>
            <w:hyperlink r:id="rId31" w:history="1">
              <w:r>
                <w:rPr>
                  <w:color w:val="1e198e"/>
                  <w:b w:val="1"/>
                  <w:bCs w:val="1"/>
                  <w:u w:val="single"/>
                </w:rPr>
                <w:t xml:space="preserve">Purchase Price Allocations: Do they Matter?</w:t>
              </w:r>
            </w:hyperlink>
          </w:p>
          <w:p>
            <w:pPr/>
            <w:hyperlink r:id="rId9" w:history="1">
              <w:r>
                <w:rPr>
                  <w:color w:val="#410a8c"/>
                  <w:u w:val="single"/>
                </w:rPr>
                <w:t xml:space="preserve">Pierre Astolfi</w:t>
              </w:r>
            </w:hyperlink>
            <w:r>
              <w:rPr/>
              <w:t xml:space="preserve">,</w:t>
            </w:r>
            <w:hyperlink r:id="rId15" w:history="1">
              <w:r>
                <w:rPr>
                  <w:color w:val="#410a8c"/>
                  <w:u w:val="single"/>
                </w:rPr>
                <w:t xml:space="preserve">Luc Paugam</w:t>
              </w:r>
            </w:hyperlink>
            <w:r>
              <w:rPr/>
              <w:t xml:space="preserve">,</w:t>
            </w:r>
            <w:hyperlink r:id="rId22" w:history="1">
              <w:r>
                <w:rPr>
                  <w:color w:val="#410a8c"/>
                  <w:u w:val="single"/>
                </w:rPr>
                <w:t xml:space="preserve">Olivier Ramond</w:t>
              </w:r>
            </w:hyperlink>
          </w:p>
          <w:p>
            <w:pPr/>
            <w:r>
              <w:rPr>
                <w:i w:val="1"/>
                <w:iCs w:val="1"/>
              </w:rPr>
              <w:t xml:space="preserve">European Accounting Association (EAA) 2012 annual meeting</w:t>
            </w:r>
            <w:r>
              <w:rPr/>
              <w:t xml:space="preserve">, May 2012, Ljubljana, Slovenia. Financial reporting session</w:t>
            </w:r>
          </w:p>
          <w:p>
            <w:pPr/>
            <w:r>
              <w:rPr/>
              <w:t xml:space="preserve">Communication dans un congrès</w:t>
            </w:r>
          </w:p>
          <w:p>
            <w:pPr/>
            <w:hyperlink r:id="rId31" w:history="1">
              <w:r>
                <w:rPr>
                  <w:color w:val="#410a8c"/>
                  <w:u w:val="single"/>
                </w:rPr>
                <w:t xml:space="preserve">halshs-00671611v1</w:t>
              </w:r>
            </w:hyperlink>
          </w:p>
        </w:tc>
      </w:tr>
      <w:tr>
        <w:trPr/>
        <w:tc>
          <w:tcPr>
            <w:noWrap/>
          </w:tcPr>
          <w:p>
            <w:pPr>
              <w:spacing w:after="200"/>
            </w:pPr>
            <w:hyperlink r:id="rId32" w:history="1">
              <w:r>
                <w:rPr>
                  <w:color w:val="1e198e"/>
                  <w:b w:val="1"/>
                  <w:bCs w:val="1"/>
                  <w:u w:val="single"/>
                </w:rPr>
                <w:t xml:space="preserve">IFRS 3 et reconnaissance des actifs incorporels : l'inertie des émetteurs en question.</w:t>
              </w:r>
            </w:hyperlink>
          </w:p>
          <w:p>
            <w:pPr/>
            <w:hyperlink r:id="rId9" w:history="1">
              <w:r>
                <w:rPr>
                  <w:color w:val="#410a8c"/>
                  <w:u w:val="single"/>
                </w:rPr>
                <w:t xml:space="preserve">Pierre Astolfi</w:t>
              </w:r>
            </w:hyperlink>
          </w:p>
          <w:p>
            <w:pPr/>
            <w:r>
              <w:rPr>
                <w:i w:val="1"/>
                <w:iCs w:val="1"/>
              </w:rPr>
              <w:t xml:space="preserve">Capital immatériel : état des lieux et perspectives</w:t>
            </w:r>
            <w:r>
              <w:rPr/>
              <w:t xml:space="preserve">, Jun 2010, Montpellier, France. Pas de pagination (fichiers sur CD ROM)</w:t>
            </w:r>
          </w:p>
          <w:p>
            <w:pPr/>
            <w:r>
              <w:rPr/>
              <w:t xml:space="preserve">Communication dans un congrès</w:t>
            </w:r>
          </w:p>
          <w:p>
            <w:pPr/>
            <w:hyperlink r:id="rId32" w:history="1">
              <w:r>
                <w:rPr>
                  <w:color w:val="#410a8c"/>
                  <w:u w:val="single"/>
                </w:rPr>
                <w:t xml:space="preserve">halshs-00525774v1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Tout le DSCG 4 - Comptabilité et Audit - Révision et entraînement</w:t>
              </w:r>
            </w:hyperlink>
          </w:p>
          <w:p>
            <w:pPr/>
            <w:hyperlink r:id="rId34" w:history="1">
              <w:r>
                <w:rPr>
                  <w:color w:val="#410a8c"/>
                  <w:u w:val="single"/>
                </w:rPr>
                <w:t xml:space="preserve">Gregory Heem</w:t>
              </w:r>
            </w:hyperlink>
            <w:r>
              <w:rPr/>
              <w:t xml:space="preserve">,</w:t>
            </w:r>
            <w:hyperlink r:id="rId35" w:history="1">
              <w:r>
                <w:rPr>
                  <w:color w:val="#410a8c"/>
                  <w:u w:val="single"/>
                </w:rPr>
                <w:t xml:space="preserve">Sébastien Paugam</w:t>
              </w:r>
            </w:hyperlink>
            <w:r>
              <w:rPr/>
              <w:t xml:space="preserve">,</w:t>
            </w:r>
            <w:hyperlink r:id="rId36" w:history="1">
              <w:r>
                <w:rPr>
                  <w:color w:val="#410a8c"/>
                  <w:u w:val="single"/>
                </w:rPr>
                <w:t xml:space="preserve">Alain Burlaud</w:t>
              </w:r>
            </w:hyperlink>
            <w:r>
              <w:rPr/>
              <w:t xml:space="preserve">,</w:t>
            </w:r>
            <w:hyperlink r:id="rId37" w:history="1">
              <w:r>
                <w:rPr>
                  <w:color w:val="#410a8c"/>
                  <w:u w:val="single"/>
                </w:rPr>
                <w:t xml:space="preserve">Valérie Keller</w:t>
              </w:r>
            </w:hyperlink>
            <w:r>
              <w:rPr/>
              <w:t xml:space="preserve">,</w:t>
            </w:r>
            <w:hyperlink r:id="rId9" w:history="1">
              <w:r>
                <w:rPr>
                  <w:color w:val="#410a8c"/>
                  <w:u w:val="single"/>
                </w:rPr>
                <w:t xml:space="preserve">Pierre Astolfi</w:t>
              </w:r>
            </w:hyperlink>
          </w:p>
          <w:p>
            <w:pPr/>
            <w:r>
              <w:rPr>
                <w:i w:val="1"/>
                <w:iCs w:val="1"/>
              </w:rPr>
              <w:t xml:space="preserve">Tout le DSCG 4 - Comptabilité et Audit - Révision et entraînement</w:t>
            </w:r>
            <w:r>
              <w:rPr/>
              <w:t xml:space="preserve">, Foucher, 2024, 978-2-216-17143-9</w:t>
            </w:r>
          </w:p>
          <w:p>
            <w:pPr/>
            <w:r>
              <w:rPr/>
              <w:t xml:space="preserve">Chapitre d'ouvrage</w:t>
            </w:r>
          </w:p>
          <w:p>
            <w:pPr/>
            <w:hyperlink r:id="rId33" w:history="1">
              <w:r>
                <w:rPr>
                  <w:color w:val="#410a8c"/>
                  <w:u w:val="single"/>
                </w:rPr>
                <w:t xml:space="preserve">halshs-05016057v1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890131v1" TargetMode="External"/><Relationship Id="rId8" Type="http://schemas.openxmlformats.org/officeDocument/2006/relationships/hyperlink" Target="https://hal.science/search/index/?q=*&amp;authFullName_s=Arnaud Thauvron" TargetMode="External"/><Relationship Id="rId9" Type="http://schemas.openxmlformats.org/officeDocument/2006/relationships/hyperlink" Target="https://hal.science/search/index/?q=*&amp;authFullName_s=Pierre Astolfi" TargetMode="External"/><Relationship Id="rId10" Type="http://schemas.openxmlformats.org/officeDocument/2006/relationships/hyperlink" Target="https://hal.science/search/index/?q=*&amp;authFullName_s=Marc Desban" TargetMode="External"/><Relationship Id="rId11" Type="http://schemas.openxmlformats.org/officeDocument/2006/relationships/hyperlink" Target="https://hal.science/hal-03712181v1" TargetMode="External"/><Relationship Id="rId12" Type="http://schemas.openxmlformats.org/officeDocument/2006/relationships/hyperlink" Target="https://dx.doi.org/10.1080/17449480.2020.1865549" TargetMode="External"/><Relationship Id="rId13" Type="http://schemas.openxmlformats.org/officeDocument/2006/relationships/hyperlink" Target="https://hal.science/hal-03712183v1" TargetMode="External"/><Relationship Id="rId14" Type="http://schemas.openxmlformats.org/officeDocument/2006/relationships/hyperlink" Target="https://hal.science/search/index/?q=*&amp;authFullName_s=Anne Jeny" TargetMode="External"/><Relationship Id="rId15" Type="http://schemas.openxmlformats.org/officeDocument/2006/relationships/hyperlink" Target="https://hal.science/search/index/?q=*&amp;authFullName_s=Luc Paugam" TargetMode="External"/><Relationship Id="rId16" Type="http://schemas.openxmlformats.org/officeDocument/2006/relationships/hyperlink" Target="https://dx.doi.org/10.3917/cca.252.0005" TargetMode="External"/><Relationship Id="rId17" Type="http://schemas.openxmlformats.org/officeDocument/2006/relationships/hyperlink" Target="https://hal.science/hal-03712182v1" TargetMode="External"/><Relationship Id="rId18" Type="http://schemas.openxmlformats.org/officeDocument/2006/relationships/hyperlink" Target="https://hal.science/search/index/?q=*&amp;authFullName_s=Gerald Lobo" TargetMode="External"/><Relationship Id="rId19" Type="http://schemas.openxmlformats.org/officeDocument/2006/relationships/hyperlink" Target="https://hal.science/search/index/?q=*&amp;authFullName_s=Herv&#233; Stolowy" TargetMode="External"/><Relationship Id="rId20" Type="http://schemas.openxmlformats.org/officeDocument/2006/relationships/hyperlink" Target="https://dx.doi.org/10.1111/abac.12096" TargetMode="External"/><Relationship Id="rId21" Type="http://schemas.openxmlformats.org/officeDocument/2006/relationships/hyperlink" Target="https://hal.science/hal-01277376v1" TargetMode="External"/><Relationship Id="rId22" Type="http://schemas.openxmlformats.org/officeDocument/2006/relationships/hyperlink" Target="https://hal.science/search/index/?q=*&amp;authFullName_s=Olivier Ramond" TargetMode="External"/><Relationship Id="rId23" Type="http://schemas.openxmlformats.org/officeDocument/2006/relationships/hyperlink" Target="https://dx.doi.org/10.1016/j.jaccpubpol.2015.04.003" TargetMode="External"/><Relationship Id="rId24" Type="http://schemas.openxmlformats.org/officeDocument/2006/relationships/hyperlink" Target="https://univ-lyon3.hal.science/hal-00965164v1" TargetMode="External"/><Relationship Id="rId25" Type="http://schemas.openxmlformats.org/officeDocument/2006/relationships/hyperlink" Target="https://hal.science/search/index/?q=*&amp;authFullName_s=Edouard Chastenet" TargetMode="External"/><Relationship Id="rId26" Type="http://schemas.openxmlformats.org/officeDocument/2006/relationships/hyperlink" Target="https://hal.science/search/index/?q=*&amp;authFullName_s=Alain Marion" TargetMode="External"/><Relationship Id="rId27" Type="http://schemas.openxmlformats.org/officeDocument/2006/relationships/hyperlink" Target="https://dx.doi.org/10.3166/RFG.242.83-101" TargetMode="External"/><Relationship Id="rId28" Type="http://schemas.openxmlformats.org/officeDocument/2006/relationships/hyperlink" Target="https://hal.science/hal-03560826v1" TargetMode="External"/><Relationship Id="rId29" Type="http://schemas.openxmlformats.org/officeDocument/2006/relationships/hyperlink" Target="https://hal.science/hal-02359093v1" TargetMode="External"/><Relationship Id="rId30" Type="http://schemas.openxmlformats.org/officeDocument/2006/relationships/hyperlink" Target="https://hal.science/search/index/?q=*&amp;authFullName_s=Sylvie Lecarpentier-Moyal" TargetMode="External"/><Relationship Id="rId31" Type="http://schemas.openxmlformats.org/officeDocument/2006/relationships/hyperlink" Target="https://shs.hal.science/halshs-00671611v1" TargetMode="External"/><Relationship Id="rId32" Type="http://schemas.openxmlformats.org/officeDocument/2006/relationships/hyperlink" Target="https://shs.hal.science/halshs-00525774v1" TargetMode="External"/><Relationship Id="rId33" Type="http://schemas.openxmlformats.org/officeDocument/2006/relationships/hyperlink" Target="https://shs.hal.science/halshs-05016057v1" TargetMode="External"/><Relationship Id="rId34" Type="http://schemas.openxmlformats.org/officeDocument/2006/relationships/hyperlink" Target="https://hal.science/search/index/?q=*&amp;authFullName_s=Gregory Heem" TargetMode="External"/><Relationship Id="rId35" Type="http://schemas.openxmlformats.org/officeDocument/2006/relationships/hyperlink" Target="https://hal.science/search/index/?q=*&amp;authFullName_s=S&#233;bastien Paugam" TargetMode="External"/><Relationship Id="rId36" Type="http://schemas.openxmlformats.org/officeDocument/2006/relationships/hyperlink" Target="https://hal.science/search/index/?q=*&amp;authFullName_s=Alain Burlaud" TargetMode="External"/><Relationship Id="rId37" Type="http://schemas.openxmlformats.org/officeDocument/2006/relationships/hyperlink" Target="https://hal.science/search/index/?q=*&amp;authFullName_s=Val&#233;rie Keller"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Astolfi</dc:title>
  <dc:description>CV</dc:description>
  <dc:subject/>
  <cp:keywords/>
  <cp:category/>
  <cp:lastModifiedBy/>
  <dcterms:created xsi:type="dcterms:W3CDTF">2026-05-28T01:41:02+02:00</dcterms:created>
  <dcterms:modified xsi:type="dcterms:W3CDTF">2026-05-28T01:41:02+02:00</dcterms:modified>
</cp:coreProperties>
</file>

<file path=docProps/custom.xml><?xml version="1.0" encoding="utf-8"?>
<Properties xmlns="http://schemas.openxmlformats.org/officeDocument/2006/custom-properties" xmlns:vt="http://schemas.openxmlformats.org/officeDocument/2006/docPropsVTypes"/>
</file>