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FLEURY </w:t>
      </w:r>
      <w:r>
        <w:rPr>
          <w:color w:val="641e6e"/>
        </w:rPr>
        <w:t xml:space="preserve">ATER à l’École Normale Supérieure de Paris (linguistique et stylistique)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de phrase chez Stendhal et Rossini : latence et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2022, Les livres. Varia, 3, pp.277-303.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⟨10.4000/stendhal.366⟩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hal-04794985v1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4985v1" TargetMode="External"/><Relationship Id="rId8" Type="http://schemas.openxmlformats.org/officeDocument/2006/relationships/hyperlink" Target="https://hal.science/search/index/?q=*&amp;authFullName_s=Pierre Fleury" TargetMode="External"/><Relationship Id="rId9" Type="http://schemas.openxmlformats.org/officeDocument/2006/relationships/hyperlink" Target="https://hal.science/search/index/?q=*&amp;authFullName_s=Julien Rault" TargetMode="External"/><Relationship Id="rId10" Type="http://schemas.openxmlformats.org/officeDocument/2006/relationships/hyperlink" Target="https://dx.doi.org/10.4000/stendhal.366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FLEURY</dc:title>
  <dc:description>CV</dc:description>
  <dc:subject/>
  <cp:keywords/>
  <cp:category/>
  <cp:lastModifiedBy/>
  <dcterms:created xsi:type="dcterms:W3CDTF">2026-04-30T12:54:35+02:00</dcterms:created>
  <dcterms:modified xsi:type="dcterms:W3CDTF">2026-04-30T12:54:35+02:00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