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Quentin Vogel </w:t></w:r><w:r><w:rPr><w:color w:val="641e6e"/></w:rPr><w:t xml:space="preserve">Ingénieur de recherche sur le projet ANAMNESIS - UPR 2002 MAP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quentin-vogel</w:t></w:r></w:hyperlink></w:p><w:p><w:pPr><w:numPr><w:ilvl w:val="0"/><w:numId w:val="1"/></w:numPr></w:pPr><w:r><w:rPr/><w:t xml:space="preserve"> ORCID : </w:t></w:r><w:hyperlink r:id="rId9" w:history="1"><w:r><w:rPr><w:color w:val="#410a8c"/><w:u w:val="single"/></w:rPr><w:t xml:space="preserve">0009-0001-3313-0587</w:t></w:r></w:hyperlink></w:p><w:p><w:pPr><w:spacing w:before="600"/></w:pPr></w:p><w:p><w:pPr><w:pStyle w:val="Heading2"/></w:pPr><w:r><w:rPr><w:color w:val="1e198e"/><w:b w:val="1"/><w:bCs w:val="1"/></w:rPr><w:t xml:space="preserve">Présentation</w:t></w:r></w:p><w:p><w:pPr><w:spacing w:after="100"/></w:pPr></w:p><w:p><w:pPr/><w:r><w:rPr/><w:t xml:space="preserve">Docteur en architecture en 2024, mon parcours doctoral débute avec l'obtention de mon master, mention recherche, à l'École Nationale Supérieure d'architecture de Marseille en 2019, portant sur la construction d’une réflexion à la croisée du champ de l’analyse d’édifices du XXe siècle, de l’historiographie de ces architectures et de la numérisation de ces objets. Je constitue alors un dossier de financement de thèse auprès du ministère de la Culture, s’appuyant sur l’état de l’art constitué durant le mémoire de recherche.</w:t></w:r></w:p><w:p><w:pPr/><w:r><w:rPr/><w:t xml:space="preserve">Lauréat d’un contrat doctoral de trois ans du ministère de la Culture, j'ai pu mener ma thèse entre janvier 2020 et juillet 2024. Le titre de cette dernière est : “Construire une protection intrinsèque du patrimoine du XXe siècle. Outiller le regard et la mémoire : pour une méthodologie des données de l’architecture à l’architecture des données”, dirigée par René Borruey (Laboratoire INAMA) et Livio De Luca (UPR MAP CNRS 2002). La soutenance a eu lieu le 4 juillet 2024 à Marseille, présidé par David Lo Buglio (Laboratoire ALICe), dont les rapporteurs étaient Ana Tostões (Instituto Superior Técnico de Lisbon) & Franz Graf (Laboratoire TSAM). Les travaux se construisaient sur trois assises que sont : une période (le XXe siècle), un territoire (les Bouches-du-Rhône), et l’interdisciplinarité (entre architecture, science du numérique et histoire). L’objectif était de construire une méthode permettant de produire une analyse la plus objectivée possible d’édifices du XXe siècle marseillais sélectionnés dans une diversité de décennies, d’auteurs, et de types de logements collectifs. La méthode se poursuivait par l’élaboration d’une toile d’outils permettant d’aller de la donnée brute vers la connaissance, en agrégeant les savoirs, à la fois dans une première temporalité immédiate de modélisation et d’analyse de sept opérations, mais aussi dans un temps futur, intégrant la découverte, l’évolutivité, et la diversité des savoirs. Respectivement, il s’agissait d’avoir une méthode capable d’intégrer et d’agréger (et non juxtaposer) de nouvelles sources découvertes à postériori, mais aussi des nouvelles productions de connaissances, pouvant être intégrées à ce qui existe déjà et, enfin, en ayant la capacité à convoquer les savoirs habitants et oraux gravitant autour des objets. C'est par la constitution d'une forme de double numérique que l'ensemble de la production accompagne la vie de l'édifice. L’hypothèse finale restant que cette prise en compte des différents types de savoirs (et leur mise à disposition) puisse (par proximité ou par acculturation) faire advenir une protection intrinsèque des édifices, comme une première ligne de protection de ces édifices au regard des multiples dégradations qui les affectent.</w:t></w:r></w:p><w:p><w:pPr/><w:r><w:rPr/><w:t xml:space="preserve">En parallèle, j’ai enseigné pendant cinq ans à l’École Nationale Supérieure d'architecture de Marseille, en licence dans les domaines du numérique et de l’apprentissage des outils propres à la modélisation de l’architecture, mais aussi en master, dans le domaine de l’architecture du XXe et de sa sauvegarde. Que ce soit à travers l’introduction à la recherche et des accroches méthodologiques, ou par le projet de réhabilitation d’objets du XXe siècle, et enfin par le séminaire d’analyse d’édifices du XXe siècle, mes enseignements sont toujours restés en lien avec mes travaux de recherche pour apporter des compétences pédagogiques, au plus près de mes connaissances scientifiques. Le séminaire est, en ce sens, l’enseignement le plus développé au regard de mes travaux de recherche, puisque j’ai pu contribuer à insuffler une part de ma méthodologie de thèse à travers les processus du séminaire. Ce dernier nous a amené à étudier les stations de ski des Hautes-Alpes, ainsi que quelques édifices singuliers du territoire. En ce sens, nous avons produit des carnets pédagogiques visant à rendre publics les travaux des étudiants, pour diffuser la connaissance, et la qualité de ces opérations méconnues sur un territoire peu observé (le dernier carnet sur la station des </w:t></w:r><w:hyperlink r:id="rId10" w:history="1"><w:r><w:rPr><w:color w:val="#410a8c"/><w:u w:val="single"/></w:rPr><w:t xml:space="preserve">Orres</w:t></w:r></w:hyperlink><w:r><w:rPr/><w:t xml:space="preserve"> et un </w:t></w:r><w:hyperlink r:id="rId11" w:history="1"><w:r><w:rPr><w:color w:val="#410a8c"/><w:u w:val="single"/></w:rPr><w:t xml:space="preserve">carnet</w:t></w:r></w:hyperlink><w:r><w:rPr/><w:t xml:space="preserve"> sur des objets singuliers du territoire)</w:t></w:r></w:p><w:p><w:pPr/><w:r><w:rPr/><w:t xml:space="preserve">Je suis aujourd'hui ingénieur de recherche au sein de l'UPR 2002 MAP CNRS, dans laquelle j'œuvre principalement à la conceptualisation, la documentation, le suivi et la médiation de la plateforme </w:t></w:r><w:hyperlink r:id="rId12" w:history="1"><w:r><w:rPr><w:color w:val="#410a8c"/><w:u w:val="single"/></w:rPr><w:t xml:space="preserve">ANAMNESIS</w:t></w:r></w:hyperlink><w:r><w:rPr/><w:t xml:space="preserve">. Plateforme qui a pour objectif de faciliter le renseignement des métadonnées propres aux instrumentations scientifiques, suivant les phases d'acquisition, de traitement et d'analyse essentiellement. Porté par un désir de simplification, ce projet propose une solution système, autour du modèle W7 pour la structuration de schéma de métadonnées flexibles, dont la charge de structuration et de documentation est une mission principale, et ce, notamment dans le cadre de mon recrutement dans </w:t></w:r><w:hyperlink r:id="rId13" w:history="1"><w:r><w:rPr><w:color w:val="#410a8c"/><w:u w:val="single"/></w:rPr><w:t xml:space="preserve">l'equipEX Espadon</w:t></w:r></w:hyperlink><w:r><w:rPr/><w:t xml:space="preserve">. À l'interface de plusieurs disciplines en lien avec les sciences du patrimoine, mes travaux tentent de proposer une méthodologie permettant d'aboutir à des schémas de métadonnées, en partant d'un instrument, d'une technique ou d'un jeu de données affiliés à l'équipEX. L'objectif est d'induire une meilleure production des données et des métadonnées dès l'origine de l'activité. En ce sens, l'interdisciplinarité native du projet et de ma mission, m'amène à interagir avec diverses institutions (LRMH, CMN ou C2RMF) pour la mise en œuvre d'une méthode portée par les experts, au plus près de leurs besoins.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 W7 structured metadata framework for reinforcing data provenances in 2D/3D digitization workflows</w:t></w:r></w:hyperlink></w:p><w:p><w:pPr/><w:hyperlink r:id="rId15" w:history="1"><w:r><w:rPr><w:color w:val="#410a8c"/><w:u w:val="single"/></w:rPr><w:t xml:space="preserve">Anthony Pamart</w:t></w:r></w:hyperlink><w:r><w:rPr/><w:t xml:space="preserve">,</w:t></w:r><w:hyperlink r:id="rId16" w:history="1"><w:r><w:rPr><w:color w:val="#410a8c"/><w:u w:val="single"/></w:rPr><w:t xml:space="preserve">Quentin Vogel</w:t></w:r></w:hyperlink><w:r><w:rPr/><w:t xml:space="preserve">,</w:t></w:r><w:hyperlink r:id="rId17" w:history="1"><w:r><w:rPr><w:color w:val="#410a8c"/><w:u w:val="single"/></w:rPr><w:t xml:space="preserve">Eloi Gattet</w:t></w:r></w:hyperlink><w:r><w:rPr/><w:t xml:space="preserve">,</w:t></w:r><w:hyperlink r:id="rId18" w:history="1"><w:r><w:rPr><w:color w:val="#410a8c"/><w:u w:val="single"/></w:rPr><w:t xml:space="preserve">Daouda Ngom</w:t></w:r></w:hyperlink><w:r><w:rPr/><w:t xml:space="preserve">,</w:t></w:r><w:hyperlink r:id="rId19" w:history="1"><w:r><w:rPr><w:color w:val="#410a8c"/><w:u w:val="single"/></w:rPr><w:t xml:space="preserve">Laurent Bergerot</w:t></w:r></w:hyperlink></w:p><w:p><w:pPr/><w:r><w:rPr><w:i w:val="1"/><w:iCs w:val="1"/></w:rPr><w:t xml:space="preserve">11th International ISPRS / CIPA Workshop "3D Virtual Reconstruction and Visualization of Complex Architectures"</w:t></w:r><w:r><w:rPr/><w:t xml:space="preserve">, Fabio Remondino; Roberto Pierdicca; Ramona Quattrini; Francesco Fassi, Feb 2026, Ancone, Italy. pp.351-358, </w:t></w:r><w:hyperlink r:id="rId20" w:history="1"><w:r><w:rPr><w:color w:val="#410a8c"/><w:u w:val="single"/></w:rPr><w:t xml:space="preserve">⟨10.5194/isprs-archives-XLVIII-2-W12-2026-351-2026⟩</w:t></w:r></w:hyperlink></w:p><w:p><w:pPr/><w:r><w:rPr/><w:t xml:space="preserve">Communication dans un congrès</w:t></w:r></w:p><w:p><w:pPr/><w:hyperlink r:id="rId14" w:history="1"><w:r><w:rPr><w:color w:val="#410a8c"/><w:u w:val="single"/></w:rPr><w:t xml:space="preserve">halshs-05512234v1</w:t></w:r></w:hyperlink></w:p></w:tc></w:tr><w:tr><w:trPr/><w:tc><w:tcPr><w:noWrap/></w:tcPr><w:p><w:pPr><w:spacing w:after="200"/></w:pPr><w:hyperlink r:id="rId21" w:history="1"><w:r><w:rPr><w:color w:val="1e198e"/><w:b w:val="1"/><w:bCs w:val="1"/><w:u w:val="single"/></w:rPr><w:t xml:space="preserve">La protection intrinsèque comme hypothèse de sauvegarde de l’architecture du XXe siècle, Marseille comme cas d’étude outillé</w:t></w:r></w:hyperlink></w:p><w:p><w:pPr/><w:hyperlink r:id="rId16" w:history="1"><w:r><w:rPr><w:color w:val="#410a8c"/><w:u w:val="single"/></w:rPr><w:t xml:space="preserve">Quentin Vogel</w:t></w:r></w:hyperlink></w:p><w:p><w:pPr/><w:r><w:rPr><w:i w:val="1"/><w:iCs w:val="1"/></w:rPr><w:t xml:space="preserve">Perspectives européennes pour l’Architecture du XXème siècle : enjeux, méthodes, outils</w:t></w:r><w:r><w:rPr/><w:t xml:space="preserve">, Laboratoire LACTH - ENSAPL (Antonella Mastrorilli &amp; Richard Klein), Nov 2024, Lille, France</w:t></w:r></w:p><w:p><w:pPr/><w:r><w:rPr/><w:t xml:space="preserve">Communication dans un congrès</w:t></w:r></w:p><w:p><w:pPr/><w:hyperlink r:id="rId21" w:history="1"><w:r><w:rPr><w:color w:val="#410a8c"/><w:u w:val="single"/></w:rPr><w:t xml:space="preserve">hal-04859519v1</w:t></w:r></w:hyperlink></w:p></w:tc></w:tr><w:tr><w:trPr/><w:tc><w:tcPr><w:noWrap/></w:tcPr><w:p><w:pPr><w:spacing w:after="200"/></w:pPr><w:hyperlink r:id="rId22" w:history="1"><w:r><w:rPr><w:color w:val="1e198e"/><w:b w:val="1"/><w:bCs w:val="1"/><w:u w:val="single"/></w:rPr><w:t xml:space="preserve">Building an intrinsic protection of 20th century architectural heritage in Marseille: a tooled methodology for knowledge enrichment</w:t></w:r></w:hyperlink></w:p><w:p><w:pPr/><w:hyperlink r:id="rId16" w:history="1"><w:r><w:rPr><w:color w:val="#410a8c"/><w:u w:val="single"/></w:rPr><w:t xml:space="preserve">Quentin Vogel</w:t></w:r></w:hyperlink><w:r><w:rPr/><w:t xml:space="preserve">,</w:t></w:r><w:hyperlink r:id="rId23" w:history="1"><w:r><w:rPr><w:color w:val="#410a8c"/><w:u w:val="single"/></w:rPr><w:t xml:space="preserve">Livio De Luca</w:t></w:r></w:hyperlink><w:r><w:rPr/><w:t xml:space="preserve">,</w:t></w:r><w:hyperlink r:id="rId24" w:history="1"><w:r><w:rPr><w:color w:val="#410a8c"/><w:u w:val="single"/></w:rPr><w:t xml:space="preserve">René Borruey</w:t></w:r></w:hyperlink></w:p><w:p><w:pPr/><w:r><w:rPr><w:i w:val="1"/><w:iCs w:val="1"/></w:rPr><w:t xml:space="preserve">29th CIPA Symposium “Documenting, Understanding, Preserving Cultural Heritage: Humanities and Digital Technologies for Shaping the Future”</w:t></w:r><w:r><w:rPr/><w:t xml:space="preserve">, Jun 2023, Florence, Italy. pp.1637-1644, </w:t></w:r><w:hyperlink r:id="rId25" w:history="1"><w:r><w:rPr><w:color w:val="#410a8c"/><w:u w:val="single"/></w:rPr><w:t xml:space="preserve">⟨10.5194/isprs-archives-XLVIII-M-2-2023-1637-2023⟩</w:t></w:r></w:hyperlink></w:p><w:p><w:pPr/><w:r><w:rPr/><w:t xml:space="preserve">Communication dans un congrès</w:t></w:r></w:p><w:p><w:pPr/><w:hyperlink r:id="rId22" w:history="1"><w:r><w:rPr><w:color w:val="#410a8c"/><w:u w:val="single"/></w:rPr><w:t xml:space="preserve">hal-04146055v1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Construire une protection intrinsèque du patrimoine du XXe siècle</w:t></w:r></w:hyperlink></w:p><w:p><w:pPr/><w:hyperlink r:id="rId16" w:history="1"><w:r><w:rPr><w:color w:val="#410a8c"/><w:u w:val="single"/></w:rPr><w:t xml:space="preserve">Quentin Vogel</w:t></w:r></w:hyperlink></w:p><w:p><w:pPr/><w:r><w:rPr/><w:t xml:space="preserve">Architecture, aménagement de l'espace. École nationale supérieure d'architecture de Marseille, 2024. Français. </w:t></w:r><w:hyperlink r:id="rId27" w:history="1"><w:r><w:rPr><w:color w:val="#410a8c"/><w:u w:val="single"/></w:rPr><w:t xml:space="preserve">⟨NNT : 2024AIXM0191⟩</w:t></w:r></w:hyperlink></w:p><w:p><w:pPr/><w:r><w:rPr/><w:t xml:space="preserve">Thèse</w:t></w:r></w:p><w:p><w:pPr/><w:hyperlink r:id="rId26" w:history="1"><w:r><w:rPr><w:color w:val="#410a8c"/><w:u w:val="single"/></w:rPr><w:t xml:space="preserve">tel-04705159v1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1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quentin-vogel" TargetMode="External"/><Relationship Id="rId9" Type="http://schemas.openxmlformats.org/officeDocument/2006/relationships/hyperlink" Target="https://orcid.org/0009-0001-3313-0587" TargetMode="External"/><Relationship Id="rId10" Type="http://schemas.openxmlformats.org/officeDocument/2006/relationships/hyperlink" Target="https://www.calameo.com/read/003368016b5e0550aa196" TargetMode="External"/><Relationship Id="rId11" Type="http://schemas.openxmlformats.org/officeDocument/2006/relationships/hyperlink" Target="https://www.calameo.com/read/003368016ef29e831776a" TargetMode="External"/><Relationship Id="rId12" Type="http://schemas.openxmlformats.org/officeDocument/2006/relationships/hyperlink" Target="https://anamnesis.espadon.net/" TargetMode="External"/><Relationship Id="rId13" Type="http://schemas.openxmlformats.org/officeDocument/2006/relationships/hyperlink" Target="https://espadon.net/" TargetMode="External"/><Relationship Id="rId14" Type="http://schemas.openxmlformats.org/officeDocument/2006/relationships/hyperlink" Target="https://shs.hal.science/halshs-05512234v1" TargetMode="External"/><Relationship Id="rId15" Type="http://schemas.openxmlformats.org/officeDocument/2006/relationships/hyperlink" Target="https://hal.science/search/index/?q=*&amp;authFullName_s=Anthony Pamart" TargetMode="External"/><Relationship Id="rId16" Type="http://schemas.openxmlformats.org/officeDocument/2006/relationships/hyperlink" Target="https://hal.science/search/index/?q=*&amp;authFullName_s=Quentin Vogel" TargetMode="External"/><Relationship Id="rId17" Type="http://schemas.openxmlformats.org/officeDocument/2006/relationships/hyperlink" Target="https://hal.science/search/index/?q=*&amp;authFullName_s=Eloi Gattet" TargetMode="External"/><Relationship Id="rId18" Type="http://schemas.openxmlformats.org/officeDocument/2006/relationships/hyperlink" Target="https://hal.science/search/index/?q=*&amp;authFullName_s=Daouda Ngom" TargetMode="External"/><Relationship Id="rId19" Type="http://schemas.openxmlformats.org/officeDocument/2006/relationships/hyperlink" Target="https://hal.science/search/index/?q=*&amp;authFullName_s=Laurent Bergerot" TargetMode="External"/><Relationship Id="rId20" Type="http://schemas.openxmlformats.org/officeDocument/2006/relationships/hyperlink" Target="https://dx.doi.org/10.5194/isprs-archives-XLVIII-2-W12-2026-351-2026" TargetMode="External"/><Relationship Id="rId21" Type="http://schemas.openxmlformats.org/officeDocument/2006/relationships/hyperlink" Target="https://hal.science/hal-04859519v1" TargetMode="External"/><Relationship Id="rId22" Type="http://schemas.openxmlformats.org/officeDocument/2006/relationships/hyperlink" Target="https://hal.science/hal-04146055v1" TargetMode="External"/><Relationship Id="rId23" Type="http://schemas.openxmlformats.org/officeDocument/2006/relationships/hyperlink" Target="https://hal.science/search/index/?q=*&amp;authFullName_s=Livio De Luca" TargetMode="External"/><Relationship Id="rId24" Type="http://schemas.openxmlformats.org/officeDocument/2006/relationships/hyperlink" Target="https://hal.science/search/index/?q=*&amp;authFullName_s=Ren&#233; Borruey" TargetMode="External"/><Relationship Id="rId25" Type="http://schemas.openxmlformats.org/officeDocument/2006/relationships/hyperlink" Target="https://dx.doi.org/10.5194/isprs-archives-XLVIII-M-2-2023-1637-2023" TargetMode="External"/><Relationship Id="rId26" Type="http://schemas.openxmlformats.org/officeDocument/2006/relationships/hyperlink" Target="https://hal.science/tel-04705159v1" TargetMode="External"/><Relationship Id="rId27" Type="http://schemas.openxmlformats.org/officeDocument/2006/relationships/hyperlink" Target="https://www.theses.fr/2024AIXM019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Vogel</dc:title>
  <dc:description>CV</dc:description>
  <dc:subject/>
  <cp:keywords/>
  <cp:category/>
  <cp:lastModifiedBy/>
  <dcterms:created xsi:type="dcterms:W3CDTF">2026-04-30T05:11:40+02:00</dcterms:created>
  <dcterms:modified xsi:type="dcterms:W3CDTF">2026-04-30T05:11:40+02:00</dcterms:modified>
</cp:coreProperties>
</file>

<file path=docProps/custom.xml><?xml version="1.0" encoding="utf-8"?>
<Properties xmlns="http://schemas.openxmlformats.org/officeDocument/2006/custom-properties" xmlns:vt="http://schemas.openxmlformats.org/officeDocument/2006/docPropsVTypes"/>
</file>