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Razvan Anghel </w:t>
      </w:r>
      <w:r>
        <w:rPr>
          <w:color w:val="641e6e"/>
        </w:rPr>
        <w:t xml:space="preserve">anghel.razvan@drept.unibuc.ro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razvan-anghel</w:t>
        </w:r>
      </w:hyperlink>
    </w:p>
    <w:p>
      <w:pPr>
        <w:numPr>
          <w:ilvl w:val="0"/>
          <w:numId w:val="1"/>
        </w:numPr>
      </w:pPr>
      <w:r>
        <w:rPr/>
        <w:t xml:space="preserve"> ORCID : </w:t>
      </w:r>
      <w:hyperlink r:id="rId9" w:history="1">
        <w:r>
          <w:rPr>
            <w:color w:val="#410a8c"/>
            <w:u w:val="single"/>
          </w:rPr>
          <w:t xml:space="preserve">0000-0002-5374-9862</w:t>
        </w:r>
      </w:hyperlink>
    </w:p>
    <w:p>
      <w:pPr>
        <w:numPr>
          <w:ilvl w:val="0"/>
          <w:numId w:val="1"/>
        </w:numPr>
      </w:pPr>
      <w:r>
        <w:rPr/>
        <w:t xml:space="preserve"> ResearcherID : </w:t>
      </w:r>
      <w:hyperlink r:id="rId10" w:history="1">
        <w:r>
          <w:rPr>
            <w:color w:val="#410a8c"/>
            <w:u w:val="single"/>
          </w:rPr>
          <w:t xml:space="preserve">A-6959-2019</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il est juge depuis 2000 et travaille depuis 2008 à la Cour d'appel de Constanța;– ancien président de la première section civile de la Cour d'appel de Constanța entre le 01.04.2013 et le 29.06.2019 ;</w:t>
      </w:r>
    </w:p>
    <w:p>
      <w:pPr>
        <w:numPr>
          <w:ilvl w:val="0"/>
          <w:numId w:val="2"/>
        </w:numPr>
      </w:pPr>
      <w:r>
        <w:rPr/>
        <w:t xml:space="preserve">depuis 2008, il exerce une activité de formateur au sein de l'Institut National de la Magistrature, animant des séminaires et des conférences de formation professionnelle pour les juges dans le cadre de programmes de formation continue centralisés et décentralisés - dans les domaines : du droit civil (le nouveau Code Civil) et droit de procédure civile (le nouveau Code de procédure civile), droit du travail, assurances sociales, évaluation de l'activité professionnelle des juges, informatique, politiques publiques en matière de justice ;</w:t>
      </w:r>
    </w:p>
    <w:p>
      <w:pPr>
        <w:numPr>
          <w:ilvl w:val="0"/>
          <w:numId w:val="2"/>
        </w:numPr>
      </w:pPr>
      <w:r>
        <w:rPr/>
        <w:t xml:space="preserve">depuis 2007, travaille comme formateur à l'École Nationale des Greffiers (dans les domaines du droit de l'Union européenne, des droits de l'homme, de l'éthique professionnelle, de la communication et des relations avec le public et les médias, du droit du travail, du droit civil - du nouveau Code civil et du droit civil droit procédural - le nouveau Code de procédure civile) ;</w:t>
      </w:r>
    </w:p>
    <w:p>
      <w:pPr>
        <w:numPr>
          <w:ilvl w:val="0"/>
          <w:numId w:val="2"/>
        </w:numPr>
      </w:pPr>
      <w:r>
        <w:rPr/>
        <w:t xml:space="preserve">est l'auteur et tuteur de certains cours eLearning dispensés par l'Institut National de la Magistrature pour les magistrats dans le domaine du droit civil (le nouveau Code Civil) et du droit de la procédure civile (le nouveau Code de Procédure Civile);</w:t>
      </w:r>
    </w:p>
    <w:p>
      <w:pPr>
        <w:numPr>
          <w:ilvl w:val="0"/>
          <w:numId w:val="2"/>
        </w:numPr>
      </w:pPr>
      <w:r>
        <w:rPr/>
        <w:t xml:space="preserve">membre de plusieurs commissions constituées pour les concours organisés par le Conseil Supérieur de la Magistrature à travers l'Institut National de la Magistrature ;</w:t>
      </w:r>
    </w:p>
    <w:p>
      <w:pPr>
        <w:numPr>
          <w:ilvl w:val="0"/>
          <w:numId w:val="2"/>
        </w:numPr>
      </w:pPr>
      <w:r>
        <w:rPr/>
        <w:t xml:space="preserve">expert en programmes de formation professionnelle avec financement extérieur destinés aux juges et greffiers réalisés par le Conseil Supérieur de la Magistrature à travers l'Institut National de la Magistrature et l'École Nationale des Greffiers dans les domaines : du droit civil (le nouveau Code Civil) et de la procédure civile droit (le nouveau Code de procédure civile), déontologie professionnelle, gestion du temps et des dossiers ;</w:t>
      </w:r>
    </w:p>
    <w:p>
      <w:pPr>
        <w:numPr>
          <w:ilvl w:val="0"/>
          <w:numId w:val="2"/>
        </w:numPr>
      </w:pPr>
      <w:r>
        <w:rPr/>
        <w:t xml:space="preserve">membre du Réseau national des juges - coordinateurs en matière de droit de l'Union européenne - EuRoQuod (depuis septembre 2012) ;</w:t>
      </w:r>
    </w:p>
    <w:p>
      <w:pPr>
        <w:numPr>
          <w:ilvl w:val="0"/>
          <w:numId w:val="2"/>
        </w:numPr>
      </w:pPr>
      <w:r>
        <w:rPr/>
        <w:t xml:space="preserve">est l'auteur de plus de 10 volumes et de plus de 100 études, articles et notes publiés dans des publications périodiques répertoriées dans des bases de données internationales et dans des volumes de manifestations scientifiques, dans les domaines : du droit civil, du droit de la procédure civile, du droit du travail, du droit des assurances sociales. , droits de l'homme, droit de l'Union européenne, gestion judiciaire, pratique judiciaire non unitaire ;</w:t>
      </w:r>
    </w:p>
    <w:p>
      <w:pPr>
        <w:numPr>
          <w:ilvl w:val="0"/>
          <w:numId w:val="2"/>
        </w:numPr>
      </w:pPr>
      <w:r>
        <w:rPr/>
        <w:t xml:space="preserve">master dans les spécialisations « Institutions de droit civil », « Droit des affaires » et « Législation maritime » ;</w:t>
      </w:r>
    </w:p>
    <w:p>
      <w:pPr>
        <w:numPr>
          <w:ilvl w:val="0"/>
          <w:numId w:val="2"/>
        </w:numPr>
      </w:pPr>
      <w:r>
        <w:rPr/>
        <w:t xml:space="preserve">a poursuivi un doctorat à l'École Doctorale de Droit de l'Université de Bucarest, Roumanie dans le domaine du droit du travail avec le thème de recherche &amp;quot;Délimitation du temps de travail et du temps de repos en droit national et en droit de l'Union européenne&amp;quot;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Considerations regarding the inclusion in working time of periods during which the worker participates in team building activities</w:t>
              </w:r>
            </w:hyperlink>
          </w:p>
          <w:p>
            <w:pPr/>
            <w:hyperlink r:id="rId12" w:history="1">
              <w:r>
                <w:rPr>
                  <w:color w:val="#410a8c"/>
                  <w:u w:val="single"/>
                </w:rPr>
                <w:t xml:space="preserve">Răzvan Anghel</w:t>
              </w:r>
            </w:hyperlink>
          </w:p>
          <w:p>
            <w:pPr/>
            <w:r>
              <w:rPr>
                <w:i w:val="1"/>
                <w:iCs w:val="1"/>
              </w:rPr>
              <w:t xml:space="preserve">Revista de Drept Social</w:t>
            </w:r>
            <w:r>
              <w:rPr/>
              <w:t xml:space="preserve">, 2023, 2023 (4), pp.3-8</w:t>
            </w:r>
          </w:p>
          <w:p>
            <w:pPr/>
            <w:r>
              <w:rPr/>
              <w:t xml:space="preserve">Article dans une revue</w:t>
            </w:r>
          </w:p>
          <w:p>
            <w:pPr/>
            <w:hyperlink r:id="rId11" w:history="1">
              <w:r>
                <w:rPr>
                  <w:color w:val="#410a8c"/>
                  <w:u w:val="single"/>
                </w:rPr>
                <w:t xml:space="preserve">hal-04343475v1</w:t>
              </w:r>
            </w:hyperlink>
          </w:p>
        </w:tc>
      </w:tr>
      <w:tr>
        <w:trPr/>
        <w:tc>
          <w:tcPr>
            <w:noWrap/>
          </w:tcPr>
          <w:p>
            <w:pPr>
              <w:spacing w:after="200"/>
            </w:pPr>
            <w:hyperlink r:id="rId13" w:history="1">
              <w:r>
                <w:rPr>
                  <w:color w:val="1e198e"/>
                  <w:b w:val="1"/>
                  <w:bCs w:val="1"/>
                  <w:u w:val="single"/>
                </w:rPr>
                <w:t xml:space="preserve">Limitele efectelor lucrului judecat în materia asigurărilor sociale. Încălcarea art.1 din Primul Protocol la Convenția Europeană a Drepturilor Omului prin respingerea de către o instanță a pretențiilor privind drepturi de pensie de invaliditate ca urmare a reținerii autorității de lucru judecat în pofida existenței unei erori vădite a autorității publice, imputabile acesteia. Hotărârea CEDO în cauza Grobelny c. Polonia</w:t>
              </w:r>
            </w:hyperlink>
          </w:p>
          <w:p>
            <w:pPr/>
            <w:hyperlink r:id="rId12" w:history="1">
              <w:r>
                <w:rPr>
                  <w:color w:val="#410a8c"/>
                  <w:u w:val="single"/>
                </w:rPr>
                <w:t xml:space="preserve">Răzvan Anghel</w:t>
              </w:r>
            </w:hyperlink>
          </w:p>
          <w:p>
            <w:pPr/>
            <w:r>
              <w:rPr>
                <w:i w:val="1"/>
                <w:iCs w:val="1"/>
              </w:rPr>
              <w:t xml:space="preserve">Jurisclasor CEDO</w:t>
            </w:r>
            <w:r>
              <w:rPr/>
              <w:t xml:space="preserve">, 2023</w:t>
            </w:r>
          </w:p>
          <w:p>
            <w:pPr/>
            <w:r>
              <w:rPr/>
              <w:t xml:space="preserve">Article dans une revue</w:t>
            </w:r>
          </w:p>
          <w:p>
            <w:pPr/>
            <w:hyperlink r:id="rId13" w:history="1">
              <w:r>
                <w:rPr>
                  <w:color w:val="#410a8c"/>
                  <w:u w:val="single"/>
                </w:rPr>
                <w:t xml:space="preserve">hal-04365176v1</w:t>
              </w:r>
            </w:hyperlink>
          </w:p>
        </w:tc>
      </w:tr>
      <w:tr>
        <w:trPr/>
        <w:tc>
          <w:tcPr>
            <w:noWrap/>
          </w:tcPr>
          <w:p>
            <w:pPr>
              <w:spacing w:after="200"/>
            </w:pPr>
            <w:hyperlink r:id="rId14" w:history="1">
              <w:r>
                <w:rPr>
                  <w:color w:val="1e198e"/>
                  <w:b w:val="1"/>
                  <w:bCs w:val="1"/>
                  <w:u w:val="single"/>
                </w:rPr>
                <w:t xml:space="preserve">THE NATIONAL COURT FOLLOW-UP IN THE CJ EU CASE “SINDICATUL FAMILIA E.A.” REGARDING THE WORKING TIME OF FOSTER PARENTS IN ROMANIA</w:t>
              </w:r>
            </w:hyperlink>
          </w:p>
          <w:p>
            <w:pPr/>
            <w:hyperlink r:id="rId12" w:history="1">
              <w:r>
                <w:rPr>
                  <w:color w:val="#410a8c"/>
                  <w:u w:val="single"/>
                </w:rPr>
                <w:t xml:space="preserve">Răzvan Anghel</w:t>
              </w:r>
            </w:hyperlink>
          </w:p>
          <w:p>
            <w:pPr/>
            <w:r>
              <w:rPr>
                <w:i w:val="1"/>
                <w:iCs w:val="1"/>
              </w:rPr>
              <w:t xml:space="preserve">Bratislava Law Review</w:t>
            </w:r>
            <w:r>
              <w:rPr/>
              <w:t xml:space="preserve">, 2020, 4 (1), pp.131 - 142. </w:t>
            </w:r>
            <w:hyperlink r:id="rId15" w:history="1">
              <w:r>
                <w:rPr>
                  <w:color w:val="#410a8c"/>
                  <w:u w:val="single"/>
                </w:rPr>
                <w:t xml:space="preserve">⟨10.46282/blr.2020.4.1.177⟩</w:t>
              </w:r>
            </w:hyperlink>
          </w:p>
          <w:p>
            <w:pPr/>
            <w:r>
              <w:rPr/>
              <w:t xml:space="preserve">Article dans une revue</w:t>
            </w:r>
          </w:p>
          <w:p>
            <w:pPr/>
            <w:hyperlink r:id="rId14" w:history="1">
              <w:r>
                <w:rPr>
                  <w:color w:val="#410a8c"/>
                  <w:u w:val="single"/>
                </w:rPr>
                <w:t xml:space="preserve">hal-04365150v1</w:t>
              </w:r>
            </w:hyperlink>
          </w:p>
        </w:tc>
      </w:tr>
      <w:tr>
        <w:trPr/>
        <w:tc>
          <w:tcPr>
            <w:noWrap/>
          </w:tcPr>
          <w:p>
            <w:pPr>
              <w:spacing w:after="200"/>
            </w:pPr>
            <w:hyperlink r:id="rId16" w:history="1">
              <w:r>
                <w:rPr>
                  <w:color w:val="1e198e"/>
                  <w:b w:val="1"/>
                  <w:bCs w:val="1"/>
                  <w:u w:val="single"/>
                </w:rPr>
                <w:t xml:space="preserve">IMPLICATIONS OF CJEU JURISPRUDENCE ON THE DELIMITATION OF WORKING TIME BY REST TIME IN THE COLLABORATIVE ECONOMY</w:t>
              </w:r>
            </w:hyperlink>
          </w:p>
          <w:p>
            <w:pPr/>
            <w:hyperlink r:id="rId12" w:history="1">
              <w:r>
                <w:rPr>
                  <w:color w:val="#410a8c"/>
                  <w:u w:val="single"/>
                </w:rPr>
                <w:t xml:space="preserve">Răzvan Anghel</w:t>
              </w:r>
            </w:hyperlink>
          </w:p>
          <w:p>
            <w:pPr/>
            <w:r>
              <w:rPr>
                <w:i w:val="1"/>
                <w:iCs w:val="1"/>
              </w:rPr>
              <w:t xml:space="preserve">Lex ET Scientia International Journal</w:t>
            </w:r>
            <w:r>
              <w:rPr/>
              <w:t xml:space="preserve">, 2019, 2019 (2), pp.7-25. </w:t>
            </w:r>
            <w:hyperlink r:id="rId17" w:history="1">
              <w:r>
                <w:rPr>
                  <w:color w:val="#410a8c"/>
                  <w:u w:val="single"/>
                </w:rPr>
                <w:t xml:space="preserve">⟨10.5281/zenodo.4319249⟩</w:t>
              </w:r>
            </w:hyperlink>
          </w:p>
          <w:p>
            <w:pPr/>
            <w:r>
              <w:rPr/>
              <w:t xml:space="preserve">Article dans une revue</w:t>
            </w:r>
          </w:p>
          <w:p>
            <w:pPr/>
            <w:hyperlink r:id="rId16" w:history="1">
              <w:r>
                <w:rPr>
                  <w:color w:val="#410a8c"/>
                  <w:u w:val="single"/>
                </w:rPr>
                <w:t xml:space="preserve">hal-04365164v1</w:t>
              </w:r>
            </w:hyperlink>
          </w:p>
        </w:tc>
      </w:tr>
      <w:tr>
        <w:trPr/>
        <w:tc>
          <w:tcPr>
            <w:noWrap/>
          </w:tcPr>
          <w:p>
            <w:pPr>
              <w:spacing w:after="200"/>
            </w:pPr>
            <w:hyperlink r:id="rId18" w:history="1">
              <w:r>
                <w:rPr>
                  <w:color w:val="1e198e"/>
                  <w:b w:val="1"/>
                  <w:bCs w:val="1"/>
                  <w:u w:val="single"/>
                </w:rPr>
                <w:t xml:space="preserve">Delimiting working time from rest time in the case of workers residing at the workplace</w:t>
              </w:r>
            </w:hyperlink>
          </w:p>
          <w:p>
            <w:pPr/>
            <w:hyperlink r:id="rId12" w:history="1">
              <w:r>
                <w:rPr>
                  <w:color w:val="#410a8c"/>
                  <w:u w:val="single"/>
                </w:rPr>
                <w:t xml:space="preserve">Răzvan Anghel</w:t>
              </w:r>
            </w:hyperlink>
          </w:p>
          <w:p>
            <w:pPr/>
            <w:r>
              <w:rPr>
                <w:i w:val="1"/>
                <w:iCs w:val="1"/>
              </w:rPr>
              <w:t xml:space="preserve">Juridical Tribune - Review of Comparative and International Law</w:t>
            </w:r>
            <w:r>
              <w:rPr/>
              <w:t xml:space="preserve">, 2018</w:t>
            </w:r>
          </w:p>
          <w:p>
            <w:pPr/>
            <w:r>
              <w:rPr/>
              <w:t xml:space="preserve">Article dans une revue</w:t>
            </w:r>
          </w:p>
          <w:p>
            <w:pPr/>
            <w:hyperlink r:id="rId18" w:history="1">
              <w:r>
                <w:rPr>
                  <w:color w:val="#410a8c"/>
                  <w:u w:val="single"/>
                </w:rPr>
                <w:t xml:space="preserve">hal-04365178v1</w:t>
              </w:r>
            </w:hyperlink>
          </w:p>
        </w:tc>
      </w:tr>
      <w:tr>
        <w:trPr/>
        <w:tc>
          <w:tcPr>
            <w:noWrap/>
          </w:tcPr>
          <w:p>
            <w:pPr>
              <w:spacing w:after="200"/>
            </w:pPr>
            <w:hyperlink r:id="rId19" w:history="1">
              <w:r>
                <w:rPr>
                  <w:color w:val="1e198e"/>
                  <w:b w:val="1"/>
                  <w:bCs w:val="1"/>
                  <w:u w:val="single"/>
                </w:rPr>
                <w:t xml:space="preserve">Les effets de la Charte sociale européenne sur le droit national relatif à la délimitation du temps de travail par le temps de repos à la lumière de la jurisprudence récente de la Cour de Justice de l'Union Européenne</w:t>
              </w:r>
            </w:hyperlink>
          </w:p>
          <w:p>
            <w:pPr/>
            <w:hyperlink r:id="rId12" w:history="1">
              <w:r>
                <w:rPr>
                  <w:color w:val="#410a8c"/>
                  <w:u w:val="single"/>
                </w:rPr>
                <w:t xml:space="preserve">Răzvan Anghel</w:t>
              </w:r>
            </w:hyperlink>
          </w:p>
          <w:p>
            <w:pPr/>
            <w:r>
              <w:rPr>
                <w:i w:val="1"/>
                <w:iCs w:val="1"/>
              </w:rPr>
              <w:t xml:space="preserve">Pro Justitia</w:t>
            </w:r>
            <w:r>
              <w:rPr/>
              <w:t xml:space="preserve">, 2018, 2018 (1), pp.152-158</w:t>
            </w:r>
          </w:p>
          <w:p>
            <w:pPr/>
            <w:r>
              <w:rPr/>
              <w:t xml:space="preserve">Article dans une revue</w:t>
            </w:r>
            <w:r>
              <w:rPr/>
              <w:t xml:space="preserve"> (article de synthèse)</w:t>
            </w:r>
          </w:p>
          <w:p>
            <w:pPr/>
            <w:hyperlink r:id="rId19" w:history="1">
              <w:r>
                <w:rPr>
                  <w:color w:val="#410a8c"/>
                  <w:u w:val="single"/>
                </w:rPr>
                <w:t xml:space="preserve">hal-04334371v1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Shaping the Concept of 'Working Time’ Between European Union and National Legislation – a Continuous Task for National Courts</w:t>
              </w:r>
            </w:hyperlink>
          </w:p>
          <w:p>
            <w:pPr/>
            <w:hyperlink r:id="rId12" w:history="1">
              <w:r>
                <w:rPr>
                  <w:color w:val="#410a8c"/>
                  <w:u w:val="single"/>
                </w:rPr>
                <w:t xml:space="preserve">Răzvan Anghel</w:t>
              </w:r>
            </w:hyperlink>
          </w:p>
          <w:p>
            <w:pPr/>
            <w:r>
              <w:rPr>
                <w:i w:val="1"/>
                <w:iCs w:val="1"/>
              </w:rPr>
              <w:t xml:space="preserve">International Academic Conference of PhD. Students and Young Researchers 23.6. – 24.6.2020 - THE MILESTONES OF LAW IN THE AREA OF CENTRAL EUROPE 2020</w:t>
            </w:r>
            <w:r>
              <w:rPr/>
              <w:t xml:space="preserve">, Jun 2020, Bratislava, Slovakia</w:t>
            </w:r>
          </w:p>
          <w:p>
            <w:pPr/>
            <w:r>
              <w:rPr/>
              <w:t xml:space="preserve">Communication dans un congrès</w:t>
            </w:r>
          </w:p>
          <w:p>
            <w:pPr/>
            <w:hyperlink r:id="rId20" w:history="1">
              <w:r>
                <w:rPr>
                  <w:color w:val="#410a8c"/>
                  <w:u w:val="single"/>
                </w:rPr>
                <w:t xml:space="preserve">hal-04365159v1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4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2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zvan-anghel" TargetMode="External"/><Relationship Id="rId9" Type="http://schemas.openxmlformats.org/officeDocument/2006/relationships/hyperlink" Target="https://orcid.org/0000-0002-5374-9862" TargetMode="External"/><Relationship Id="rId10" Type="http://schemas.openxmlformats.org/officeDocument/2006/relationships/hyperlink" Target="http://www.researcherid.com/rid/A-6959-2019" TargetMode="External"/><Relationship Id="rId11" Type="http://schemas.openxmlformats.org/officeDocument/2006/relationships/hyperlink" Target="https://hal.science/hal-04343475v1" TargetMode="External"/><Relationship Id="rId12" Type="http://schemas.openxmlformats.org/officeDocument/2006/relationships/hyperlink" Target="https://hal.science/search/index/?q=*&amp;authFullName_s=R&#259;zvan Anghel" TargetMode="External"/><Relationship Id="rId13" Type="http://schemas.openxmlformats.org/officeDocument/2006/relationships/hyperlink" Target="https://hal.science/hal-04365176v1" TargetMode="External"/><Relationship Id="rId14" Type="http://schemas.openxmlformats.org/officeDocument/2006/relationships/hyperlink" Target="https://hal.science/hal-04365150v1" TargetMode="External"/><Relationship Id="rId15" Type="http://schemas.openxmlformats.org/officeDocument/2006/relationships/hyperlink" Target="https://dx.doi.org/10.46282/blr.2020.4.1.177" TargetMode="External"/><Relationship Id="rId16" Type="http://schemas.openxmlformats.org/officeDocument/2006/relationships/hyperlink" Target="https://hal.science/hal-04365164v1" TargetMode="External"/><Relationship Id="rId17" Type="http://schemas.openxmlformats.org/officeDocument/2006/relationships/hyperlink" Target="https://dx.doi.org/10.5281/zenodo.4319249" TargetMode="External"/><Relationship Id="rId18" Type="http://schemas.openxmlformats.org/officeDocument/2006/relationships/hyperlink" Target="https://hal.science/hal-04365178v1" TargetMode="External"/><Relationship Id="rId19" Type="http://schemas.openxmlformats.org/officeDocument/2006/relationships/hyperlink" Target="https://hal.science/hal-04334371v1" TargetMode="External"/><Relationship Id="rId20" Type="http://schemas.openxmlformats.org/officeDocument/2006/relationships/hyperlink" Target="https://hal.science/hal-0436515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Razvan Anghel</dc:title>
  <dc:description>CV</dc:description>
  <dc:subject/>
  <cp:keywords/>
  <cp:category/>
  <cp:lastModifiedBy/>
  <dcterms:created xsi:type="dcterms:W3CDTF">2026-04-30T02:38:04+02:00</dcterms:created>
  <dcterms:modified xsi:type="dcterms:W3CDTF">2026-04-30T02:38:04+02:00</dcterms:modified>
</cp:coreProperties>
</file>

<file path=docProps/custom.xml><?xml version="1.0" encoding="utf-8"?>
<Properties xmlns="http://schemas.openxmlformats.org/officeDocument/2006/custom-properties" xmlns:vt="http://schemas.openxmlformats.org/officeDocument/2006/docPropsVTypes"/>
</file>