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Lafontaine </w:t>
      </w:r>
      <w:r>
        <w:rPr>
          <w:color w:val="641e6e"/>
        </w:rPr>
        <w:t xml:space="preserve">Doctorant contractuel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remi-lafontaine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hérésiologique de l'épiscopat romain aux débuts du schisme acacien : la correspondance de l'évêque de Rome Felix III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Porphyra </w:t>
            </w:r>
            <w:r>
              <w:rPr/>
              <w:t xml:space="preserve">, 2025, Confronti su Bisanzio (12), pp.183-221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hal-05358906v1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E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lafontaine" TargetMode="External"/><Relationship Id="rId8" Type="http://schemas.openxmlformats.org/officeDocument/2006/relationships/hyperlink" Target="https://hal.science/hal-05358906v1" TargetMode="External"/><Relationship Id="rId9" Type="http://schemas.openxmlformats.org/officeDocument/2006/relationships/hyperlink" Target="https://hal.science/search/index/?q=*&amp;authFullName_s=R&#233;mi Lafontain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Lafontaine</dc:title>
  <dc:description>CV</dc:description>
  <dc:subject/>
  <cp:keywords/>
  <cp:category/>
  <cp:lastModifiedBy/>
  <dcterms:created xsi:type="dcterms:W3CDTF">2026-03-07T04:33:33+01:00</dcterms:created>
  <dcterms:modified xsi:type="dcterms:W3CDTF">2026-03-07T04:33:33+01:00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