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RIDA BELAHOUAOUI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conformité fiscale des contribuables marocains : Perception des professionnels comptables indépendants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Rida Belahouaoui</w:t>
              </w:r>
            </w:hyperlink>
          </w:p>
          <w:p>
            <w:pPr/>
            <w:r>
              <w:rPr/>
              <w:t xml:space="preserve">Gestion et management. Université Cadi Ayyad,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tel-04939541v1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l’IS : &amp;quot;FLAT TAX&amp;quot; entre consécration de l’équité et lutte contre la fraude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Rida Belahouaoui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hal-04383616v1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39541v1" TargetMode="External"/><Relationship Id="rId8" Type="http://schemas.openxmlformats.org/officeDocument/2006/relationships/hyperlink" Target="https://hal.science/search/index/?q=*&amp;authFullName_s=Rida Belahouaou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383616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RIDA BELAHOUAOUI</dc:title>
  <dc:description>CV</dc:description>
  <dc:subject/>
  <cp:keywords/>
  <cp:category/>
  <cp:lastModifiedBy/>
  <dcterms:created xsi:type="dcterms:W3CDTF">2026-04-15T11:09:07+02:00</dcterms:created>
  <dcterms:modified xsi:type="dcterms:W3CDTF">2026-04-15T11:09:07+02:00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