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Sahar Saeidnia </w:t>
      </w:r>
      <w:r>
        <w:rPr>
          <w:color w:val="641e6e"/>
        </w:rPr>
        <w:t xml:space="preserve">Chercheuse à l'Institut français du Proche-Orient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sahar-saeidnia</w:t>
        </w:r>
      </w:hyperlink>
    </w:p>
    <w:p>
      <w:pPr>
        <w:numPr>
          <w:ilvl w:val="0"/>
          <w:numId w:val="1"/>
        </w:numPr>
      </w:pPr>
      <w:r>
        <w:rPr/>
        <w:t xml:space="preserve"> ORCID : </w:t>
      </w:r>
      <w:hyperlink r:id="rId8" w:history="1">
        <w:r>
          <w:rPr>
            <w:color w:val="#410a8c"/>
            <w:u w:val="single"/>
          </w:rPr>
          <w:t xml:space="preserve">0000-0002-7718-1036</w:t>
        </w:r>
      </w:hyperlink>
    </w:p>
    <w:p>
      <w:pPr>
        <w:numPr>
          <w:ilvl w:val="0"/>
          <w:numId w:val="1"/>
        </w:numPr>
      </w:pPr>
      <w:r>
        <w:rPr/>
        <w:t xml:space="preserve"> IdRef : </w:t>
      </w:r>
      <w:hyperlink r:id="rId9" w:history="1">
        <w:r>
          <w:rPr>
            <w:color w:val="#410a8c"/>
            <w:u w:val="single"/>
          </w:rPr>
          <w:t xml:space="preserve">254016030</w:t>
        </w:r>
      </w:hyperlink>
    </w:p>
    <w:p>
      <w:pPr>
        <w:spacing w:before="600"/>
      </w:pPr>
    </w:p>
    <w:p>
      <w:pPr>
        <w:pStyle w:val="Heading2"/>
      </w:pPr>
      <w:r>
        <w:rPr>
          <w:color w:val="1e198e"/>
          <w:b w:val="1"/>
          <w:bCs w:val="1"/>
        </w:rPr>
        <w:t xml:space="preserve">Présentation</w:t>
      </w:r>
    </w:p>
    <w:p>
      <w:pPr>
        <w:spacing w:after="100"/>
      </w:pPr>
    </w:p>
    <w:p>
      <w:pPr/>
      <w:r>
        <w:rPr/>
        <w:t xml:space="preserve">Sahar Aurore Saeidnia étudie ce que signifie &amp;quot;faire le bien&amp;quot;, comment sont gouvernés les quartiers ou encore comment s'organise la participation à la vie de la cité dans nos sociétés contemporaines. Sociologue du politique et spécialiste de l’Iran contemporain, ses recherches portent plus particulièrement sur les rapports ordinaires au politique et la question sociale en Iran au XXe. Après une thèse de sociologie à l'EHESS, un postdoctorat Gerda Henkel et un financement COFUND MARIE CURIE, elle est actuellement postdoctorante à l’Université libre de Bruxelles.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gouvernement de la santé dans la République islamique d’Iran entre fragmentation, intermédiation et internationalisation</w:t>
              </w:r>
            </w:hyperlink>
          </w:p>
          <w:p>
            <w:pPr/>
            <w:hyperlink r:id="rId11" w:history="1">
              <w:r>
                <w:rPr>
                  <w:color w:val="#410a8c"/>
                  <w:u w:val="single"/>
                </w:rPr>
                <w:t xml:space="preserve">Sahar Aurore Saeidnia</w:t>
              </w:r>
            </w:hyperlink>
          </w:p>
          <w:p>
            <w:pPr/>
            <w:r>
              <w:rPr>
                <w:i w:val="1"/>
                <w:iCs w:val="1"/>
              </w:rPr>
              <w:t xml:space="preserve">Confluences Méditerranée </w:t>
            </w:r>
            <w:r>
              <w:rPr/>
              <w:t xml:space="preserve">, 2024, N° 128 (1), pp.151-166. </w:t>
            </w:r>
            <w:hyperlink r:id="rId12" w:history="1">
              <w:r>
                <w:rPr>
                  <w:color w:val="#410a8c"/>
                  <w:u w:val="single"/>
                </w:rPr>
                <w:t xml:space="preserve">⟨10.3917/come.128.0152⟩</w:t>
              </w:r>
            </w:hyperlink>
          </w:p>
          <w:p>
            <w:pPr/>
            <w:r>
              <w:rPr/>
              <w:t xml:space="preserve">Article dans une revue</w:t>
            </w:r>
          </w:p>
          <w:p>
            <w:pPr/>
            <w:hyperlink r:id="rId10" w:history="1">
              <w:r>
                <w:rPr>
                  <w:color w:val="#410a8c"/>
                  <w:u w:val="single"/>
                </w:rPr>
                <w:t xml:space="preserve">hal-04779700v1</w:t>
              </w:r>
            </w:hyperlink>
          </w:p>
        </w:tc>
      </w:tr>
      <w:tr>
        <w:trPr/>
        <w:tc>
          <w:tcPr>
            <w:noWrap/>
          </w:tcPr>
          <w:p>
            <w:pPr>
              <w:spacing w:after="200"/>
            </w:pPr>
            <w:hyperlink r:id="rId13" w:history="1">
              <w:r>
                <w:rPr>
                  <w:color w:val="1e198e"/>
                  <w:b w:val="1"/>
                  <w:bCs w:val="1"/>
                  <w:u w:val="single"/>
                </w:rPr>
                <w:t xml:space="preserve">Minoritaires en Iran. Décentrer l'analyse de l'imbrication des rapports sociaux</w:t>
              </w:r>
            </w:hyperlink>
          </w:p>
          <w:p>
            <w:pPr/>
            <w:hyperlink r:id="rId14" w:history="1">
              <w:r>
                <w:rPr>
                  <w:color w:val="#410a8c"/>
                  <w:u w:val="single"/>
                </w:rPr>
                <w:t xml:space="preserve">Lucia Direnberger</w:t>
              </w:r>
            </w:hyperlink>
            <w:r>
              <w:rPr/>
              <w:t xml:space="preserve">,</w:t>
            </w:r>
            <w:hyperlink r:id="rId15" w:history="1">
              <w:r>
                <w:rPr>
                  <w:color w:val="#410a8c"/>
                  <w:u w:val="single"/>
                </w:rPr>
                <w:t xml:space="preserve">Sahar A Saeidnia</w:t>
              </w:r>
            </w:hyperlink>
          </w:p>
          <w:p>
            <w:pPr/>
            <w:r>
              <w:rPr>
                <w:i w:val="1"/>
                <w:iCs w:val="1"/>
              </w:rPr>
              <w:t xml:space="preserve">Genre, sexualité &amp; société</w:t>
            </w:r>
            <w:r>
              <w:rPr/>
              <w:t xml:space="preserve">, 2023, Minoritaires en Iran, Hors série 4, pp.7860. </w:t>
            </w:r>
            <w:hyperlink r:id="rId16" w:history="1">
              <w:r>
                <w:rPr>
                  <w:color w:val="#410a8c"/>
                  <w:u w:val="single"/>
                </w:rPr>
                <w:t xml:space="preserve">⟨10.4000/gss.7860⟩</w:t>
              </w:r>
            </w:hyperlink>
          </w:p>
          <w:p>
            <w:pPr/>
            <w:r>
              <w:rPr/>
              <w:t xml:space="preserve">Article dans une revue</w:t>
            </w:r>
          </w:p>
          <w:p>
            <w:pPr/>
            <w:hyperlink r:id="rId13" w:history="1">
              <w:r>
                <w:rPr>
                  <w:color w:val="#410a8c"/>
                  <w:u w:val="single"/>
                </w:rPr>
                <w:t xml:space="preserve">halshs-04372407v1</w:t>
              </w:r>
            </w:hyperlink>
          </w:p>
        </w:tc>
      </w:tr>
      <w:tr>
        <w:trPr/>
        <w:tc>
          <w:tcPr>
            <w:noWrap/>
          </w:tcPr>
          <w:p>
            <w:pPr>
              <w:spacing w:after="200"/>
            </w:pPr>
            <w:hyperlink r:id="rId17" w:history="1">
              <w:r>
                <w:rPr>
                  <w:color w:val="1e198e"/>
                  <w:b w:val="1"/>
                  <w:bCs w:val="1"/>
                  <w:u w:val="single"/>
                </w:rPr>
                <w:t xml:space="preserve">Une république des martyrs ? La guerre comme répertoire d’action publique dans la République islamique d’Iran.</w:t>
              </w:r>
            </w:hyperlink>
          </w:p>
          <w:p>
            <w:pPr/>
            <w:hyperlink r:id="rId11" w:history="1">
              <w:r>
                <w:rPr>
                  <w:color w:val="#410a8c"/>
                  <w:u w:val="single"/>
                </w:rPr>
                <w:t xml:space="preserve">Sahar Aurore Saeidnia</w:t>
              </w:r>
            </w:hyperlink>
          </w:p>
          <w:p>
            <w:pPr/>
            <w:r>
              <w:rPr>
                <w:i w:val="1"/>
                <w:iCs w:val="1"/>
              </w:rPr>
              <w:t xml:space="preserve">Gouvernement &amp; action publique</w:t>
            </w:r>
            <w:r>
              <w:rPr/>
              <w:t xml:space="preserve">, 2019, 8 (4), pp.145-167. </w:t>
            </w:r>
            <w:hyperlink r:id="rId18" w:history="1">
              <w:r>
                <w:rPr>
                  <w:color w:val="#410a8c"/>
                  <w:u w:val="single"/>
                </w:rPr>
                <w:t xml:space="preserve">⟨10.3917/gap.194.0145⟩</w:t>
              </w:r>
            </w:hyperlink>
          </w:p>
          <w:p>
            <w:pPr/>
            <w:r>
              <w:rPr/>
              <w:t xml:space="preserve">Article dans une revue</w:t>
            </w:r>
          </w:p>
          <w:p>
            <w:pPr/>
            <w:hyperlink r:id="rId17" w:history="1">
              <w:r>
                <w:rPr>
                  <w:color w:val="#410a8c"/>
                  <w:u w:val="single"/>
                </w:rPr>
                <w:t xml:space="preserve">halshs-03539031v1</w:t>
              </w:r>
            </w:hyperlink>
          </w:p>
        </w:tc>
      </w:tr>
      <w:tr>
        <w:trPr/>
        <w:tc>
          <w:tcPr>
            <w:noWrap/>
          </w:tcPr>
          <w:p>
            <w:pPr>
              <w:spacing w:after="200"/>
            </w:pPr>
            <w:hyperlink r:id="rId19" w:history="1">
              <w:r>
                <w:rPr>
                  <w:color w:val="1e198e"/>
                  <w:b w:val="1"/>
                  <w:bCs w:val="1"/>
                  <w:u w:val="single"/>
                </w:rPr>
                <w:t xml:space="preserve">Entre mise en scène des émotions et évitement du conflit. Une approche ethnographique des normes affectives dans les conseils de quartier de Téhéran</w:t>
              </w:r>
            </w:hyperlink>
          </w:p>
          <w:p>
            <w:pPr/>
            <w:hyperlink r:id="rId11" w:history="1">
              <w:r>
                <w:rPr>
                  <w:color w:val="#410a8c"/>
                  <w:u w:val="single"/>
                </w:rPr>
                <w:t xml:space="preserve">Sahar Aurore Saeidnia</w:t>
              </w:r>
            </w:hyperlink>
          </w:p>
          <w:p>
            <w:pPr/>
            <w:r>
              <w:rPr>
                <w:i w:val="1"/>
                <w:iCs w:val="1"/>
              </w:rPr>
              <w:t xml:space="preserve">Revue internationale de politique comparée</w:t>
            </w:r>
            <w:r>
              <w:rPr/>
              <w:t xml:space="preserve">, 2018, 25 (3), pp.27-49. </w:t>
            </w:r>
            <w:hyperlink r:id="rId20" w:history="1">
              <w:r>
                <w:rPr>
                  <w:color w:val="#410a8c"/>
                  <w:u w:val="single"/>
                </w:rPr>
                <w:t xml:space="preserve">⟨10.3917/ripc.253.0027⟩</w:t>
              </w:r>
            </w:hyperlink>
          </w:p>
          <w:p>
            <w:pPr/>
            <w:r>
              <w:rPr/>
              <w:t xml:space="preserve">Article dans une revue</w:t>
            </w:r>
          </w:p>
          <w:p>
            <w:pPr/>
            <w:hyperlink r:id="rId19" w:history="1">
              <w:r>
                <w:rPr>
                  <w:color w:val="#410a8c"/>
                  <w:u w:val="single"/>
                </w:rPr>
                <w:t xml:space="preserve">halshs-03539024v1</w:t>
              </w:r>
            </w:hyperlink>
          </w:p>
        </w:tc>
      </w:tr>
      <w:tr>
        <w:trPr/>
        <w:tc>
          <w:tcPr>
            <w:noWrap/>
          </w:tcPr>
          <w:p>
            <w:pPr>
              <w:spacing w:after="200"/>
            </w:pPr>
            <w:hyperlink r:id="rId21" w:history="1">
              <w:r>
                <w:rPr>
                  <w:color w:val="1e198e"/>
                  <w:b w:val="1"/>
                  <w:bCs w:val="1"/>
                  <w:u w:val="single"/>
                </w:rPr>
                <w:t xml:space="preserve">L'expérience politique des conseils municipaux en République Islamique d'Iran</w:t>
              </w:r>
            </w:hyperlink>
          </w:p>
          <w:p>
            <w:pPr/>
            <w:hyperlink r:id="rId22" w:history="1">
              <w:r>
                <w:rPr>
                  <w:color w:val="#410a8c"/>
                  <w:u w:val="single"/>
                </w:rPr>
                <w:t xml:space="preserve">Sahar Saeidnia</w:t>
              </w:r>
            </w:hyperlink>
          </w:p>
          <w:p>
            <w:pPr/>
            <w:r>
              <w:rPr>
                <w:i w:val="1"/>
                <w:iCs w:val="1"/>
              </w:rPr>
              <w:t xml:space="preserve">Cahiers Sens Public</w:t>
            </w:r>
            <w:r>
              <w:rPr/>
              <w:t xml:space="preserve">, 2013, 15-16, pp.129-144. </w:t>
            </w:r>
            <w:hyperlink r:id="rId23" w:history="1">
              <w:r>
                <w:rPr>
                  <w:color w:val="#410a8c"/>
                  <w:u w:val="single"/>
                </w:rPr>
                <w:t xml:space="preserve">⟨10.3917/csp.015.0129⟩</w:t>
              </w:r>
            </w:hyperlink>
          </w:p>
          <w:p>
            <w:pPr/>
            <w:r>
              <w:rPr/>
              <w:t xml:space="preserve">Article dans une revue</w:t>
            </w:r>
          </w:p>
          <w:p>
            <w:pPr/>
            <w:hyperlink r:id="rId21" w:history="1">
              <w:r>
                <w:rPr>
                  <w:color w:val="#410a8c"/>
                  <w:u w:val="single"/>
                </w:rPr>
                <w:t xml:space="preserve">halshs-03539042v1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mondes de la bien-faisance. Les pratiques du bien au prisme des sciences sociales</w:t>
              </w:r>
            </w:hyperlink>
          </w:p>
          <w:p>
            <w:pPr/>
            <w:hyperlink r:id="rId25" w:history="1">
              <w:r>
                <w:rPr>
                  <w:color w:val="#410a8c"/>
                  <w:u w:val="single"/>
                </w:rPr>
                <w:t xml:space="preserve">Laura Ruiz de Elvira</w:t>
              </w:r>
            </w:hyperlink>
            <w:r>
              <w:rPr/>
              <w:t xml:space="preserve">,</w:t>
            </w:r>
            <w:hyperlink r:id="rId11" w:history="1">
              <w:r>
                <w:rPr>
                  <w:color w:val="#410a8c"/>
                  <w:u w:val="single"/>
                </w:rPr>
                <w:t xml:space="preserve">Sahar Aurore Saeidnia</w:t>
              </w:r>
            </w:hyperlink>
          </w:p>
          <w:p>
            <w:pPr/>
            <w:r>
              <w:rPr/>
              <w:t xml:space="preserve">CNRS Editions. 2021</w:t>
            </w:r>
          </w:p>
          <w:p>
            <w:pPr/>
            <w:r>
              <w:rPr/>
              <w:t xml:space="preserve">Ouvrages</w:t>
            </w:r>
          </w:p>
          <w:p>
            <w:pPr/>
            <w:hyperlink r:id="rId24" w:history="1">
              <w:r>
                <w:rPr>
                  <w:color w:val="#410a8c"/>
                  <w:u w:val="single"/>
                </w:rPr>
                <w:t xml:space="preserve">halshs-03539054v1</w:t>
              </w:r>
            </w:hyperlink>
          </w:p>
        </w:tc>
      </w:tr>
      <w:tr>
        <w:trPr/>
        <w:tc>
          <w:tcPr>
            <w:noWrap/>
          </w:tcPr>
          <w:p>
            <w:pPr>
              <w:spacing w:after="200"/>
            </w:pPr>
            <w:hyperlink r:id="rId26" w:history="1">
              <w:r>
                <w:rPr>
                  <w:color w:val="1e198e"/>
                  <w:b w:val="1"/>
                  <w:bCs w:val="1"/>
                  <w:u w:val="single"/>
                </w:rPr>
                <w:t xml:space="preserve">Hannah Arendt's The Human Condition</w:t>
              </w:r>
            </w:hyperlink>
          </w:p>
          <w:p>
            <w:pPr/>
            <w:hyperlink r:id="rId11" w:history="1">
              <w:r>
                <w:rPr>
                  <w:color w:val="#410a8c"/>
                  <w:u w:val="single"/>
                </w:rPr>
                <w:t xml:space="preserve">Sahar Aurore Saeidnia</w:t>
              </w:r>
            </w:hyperlink>
            <w:r>
              <w:rPr/>
              <w:t xml:space="preserve">,</w:t>
            </w:r>
            <w:hyperlink r:id="rId27" w:history="1">
              <w:r>
                <w:rPr>
                  <w:color w:val="#410a8c"/>
                  <w:u w:val="single"/>
                </w:rPr>
                <w:t xml:space="preserve">Anthony Lang</w:t>
              </w:r>
            </w:hyperlink>
          </w:p>
          <w:p>
            <w:pPr/>
            <w:r>
              <w:rPr/>
              <w:t xml:space="preserve">CRC Press/Macat Library/Routledge. 2017</w:t>
            </w:r>
          </w:p>
          <w:p>
            <w:pPr/>
            <w:r>
              <w:rPr/>
              <w:t xml:space="preserve">Ouvrages</w:t>
            </w:r>
          </w:p>
          <w:p>
            <w:pPr/>
            <w:hyperlink r:id="rId26" w:history="1">
              <w:r>
                <w:rPr>
                  <w:color w:val="#410a8c"/>
                  <w:u w:val="single"/>
                </w:rPr>
                <w:t xml:space="preserve">halshs-03542505v1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fabrique sociale des bénéficiaires de l’aide à Beyrouth.</w:t>
              </w:r>
            </w:hyperlink>
          </w:p>
          <w:p>
            <w:pPr/>
            <w:hyperlink r:id="rId29" w:history="1">
              <w:r>
                <w:rPr>
                  <w:color w:val="#410a8c"/>
                  <w:u w:val="single"/>
                </w:rPr>
                <w:t xml:space="preserve">Leila Drif</w:t>
              </w:r>
            </w:hyperlink>
            <w:r>
              <w:rPr/>
              <w:t xml:space="preserve">,</w:t>
            </w:r>
            <w:hyperlink r:id="rId25" w:history="1">
              <w:r>
                <w:rPr>
                  <w:color w:val="#410a8c"/>
                  <w:u w:val="single"/>
                </w:rPr>
                <w:t xml:space="preserve">Laura Ruiz de Elvira</w:t>
              </w:r>
            </w:hyperlink>
            <w:r>
              <w:rPr/>
              <w:t xml:space="preserve">,</w:t>
            </w:r>
            <w:hyperlink r:id="rId11" w:history="1">
              <w:r>
                <w:rPr>
                  <w:color w:val="#410a8c"/>
                  <w:u w:val="single"/>
                </w:rPr>
                <w:t xml:space="preserve">Sahar Aurore Saeidnia</w:t>
              </w:r>
            </w:hyperlink>
          </w:p>
          <w:p>
            <w:pPr/>
            <w:r>
              <w:rPr/>
              <w:t xml:space="preserve">CNRS Editions. </w:t>
            </w:r>
            <w:r>
              <w:rPr>
                <w:i w:val="1"/>
                <w:iCs w:val="1"/>
              </w:rPr>
              <w:t xml:space="preserve">Les mondes de la bien-faisance : les pratiques du bien au prisme des sciences sociales</w:t>
            </w:r>
            <w:r>
              <w:rPr/>
              <w:t xml:space="preserve">, 407p., 2021, 978-2-271-13205-5</w:t>
            </w:r>
          </w:p>
          <w:p>
            <w:pPr/>
            <w:r>
              <w:rPr/>
              <w:t xml:space="preserve">Chapitre d'ouvrage</w:t>
            </w:r>
          </w:p>
          <w:p>
            <w:pPr/>
            <w:hyperlink r:id="rId28" w:history="1">
              <w:r>
                <w:rPr>
                  <w:color w:val="#410a8c"/>
                  <w:u w:val="single"/>
                </w:rPr>
                <w:t xml:space="preserve">hal-04775449v1</w:t>
              </w:r>
            </w:hyperlink>
          </w:p>
        </w:tc>
      </w:tr>
      <w:tr>
        <w:trPr/>
        <w:tc>
          <w:tcPr>
            <w:noWrap/>
          </w:tcPr>
          <w:p>
            <w:pPr>
              <w:spacing w:after="200"/>
            </w:pPr>
            <w:hyperlink r:id="rId30" w:history="1">
              <w:r>
                <w:rPr>
                  <w:color w:val="1e198e"/>
                  <w:b w:val="1"/>
                  <w:bCs w:val="1"/>
                  <w:u w:val="single"/>
                </w:rPr>
                <w:t xml:space="preserve">Beneficence and Welfare: Notes for the Comparative Study of “Doing Good” Practices (‘amal Khayr) in the Islamic World</w:t>
              </w:r>
            </w:hyperlink>
          </w:p>
          <w:p>
            <w:pPr/>
            <w:hyperlink r:id="rId11" w:history="1">
              <w:r>
                <w:rPr>
                  <w:color w:val="#410a8c"/>
                  <w:u w:val="single"/>
                </w:rPr>
                <w:t xml:space="preserve">Sahar Aurore Saeidnia</w:t>
              </w:r>
            </w:hyperlink>
            <w:r>
              <w:rPr/>
              <w:t xml:space="preserve">,</w:t>
            </w:r>
            <w:hyperlink r:id="rId25" w:history="1">
              <w:r>
                <w:rPr>
                  <w:color w:val="#410a8c"/>
                  <w:u w:val="single"/>
                </w:rPr>
                <w:t xml:space="preserve">Laura Ruiz de Elvira</w:t>
              </w:r>
            </w:hyperlink>
          </w:p>
          <w:p>
            <w:pPr/>
            <w:r>
              <w:rPr/>
              <w:t xml:space="preserve">Palgrave Macmillan. </w:t>
            </w:r>
            <w:r>
              <w:rPr>
                <w:i w:val="1"/>
                <w:iCs w:val="1"/>
              </w:rPr>
              <w:t xml:space="preserve">Social Policy in the Islamic World</w:t>
            </w:r>
            <w:r>
              <w:rPr/>
              <w:t xml:space="preserve">, pp.63-82, 2021</w:t>
            </w:r>
          </w:p>
          <w:p>
            <w:pPr/>
            <w:r>
              <w:rPr/>
              <w:t xml:space="preserve">Chapitre d'ouvrage</w:t>
            </w:r>
          </w:p>
          <w:p>
            <w:pPr/>
            <w:hyperlink r:id="rId30" w:history="1">
              <w:r>
                <w:rPr>
                  <w:color w:val="#410a8c"/>
                  <w:u w:val="single"/>
                </w:rPr>
                <w:t xml:space="preserve">halshs-03542518v1</w:t>
              </w:r>
            </w:hyperlink>
          </w:p>
        </w:tc>
      </w:tr>
      <w:tr>
        <w:trPr/>
        <w:tc>
          <w:tcPr>
            <w:noWrap/>
          </w:tcPr>
          <w:p>
            <w:pPr>
              <w:spacing w:after="200"/>
            </w:pPr>
            <w:hyperlink r:id="rId31" w:history="1">
              <w:r>
                <w:rPr>
                  <w:color w:val="1e198e"/>
                  <w:b w:val="1"/>
                  <w:bCs w:val="1"/>
                  <w:u w:val="single"/>
                </w:rPr>
                <w:t xml:space="preserve">Le Téhéran du futur sera participatif ! Administrer la participation en contexte autoritaire</w:t>
              </w:r>
            </w:hyperlink>
          </w:p>
          <w:p>
            <w:pPr/>
            <w:hyperlink r:id="rId11" w:history="1">
              <w:r>
                <w:rPr>
                  <w:color w:val="#410a8c"/>
                  <w:u w:val="single"/>
                </w:rPr>
                <w:t xml:space="preserve">Sahar Aurore Saeidnia</w:t>
              </w:r>
            </w:hyperlink>
          </w:p>
          <w:p>
            <w:pPr/>
            <w:r>
              <w:rPr/>
              <w:t xml:space="preserve">Karthala. </w:t>
            </w:r>
            <w:r>
              <w:rPr>
                <w:i w:val="1"/>
                <w:iCs w:val="1"/>
              </w:rPr>
              <w:t xml:space="preserve">Faire, défaire la démocratie. De Moscou, Bogota et Téhéran au conseil de l'Europe</w:t>
            </w:r>
            <w:r>
              <w:rPr/>
              <w:t xml:space="preserve">, pp.247-270, 2021</w:t>
            </w:r>
          </w:p>
          <w:p>
            <w:pPr/>
            <w:r>
              <w:rPr/>
              <w:t xml:space="preserve">Chapitre d'ouvrage</w:t>
            </w:r>
          </w:p>
          <w:p>
            <w:pPr/>
            <w:hyperlink r:id="rId31" w:history="1">
              <w:r>
                <w:rPr>
                  <w:color w:val="#410a8c"/>
                  <w:u w:val="single"/>
                </w:rPr>
                <w:t xml:space="preserve">halshs-03542522v1</w:t>
              </w:r>
            </w:hyperlink>
          </w:p>
        </w:tc>
      </w:tr>
      <w:tr>
        <w:trPr/>
        <w:tc>
          <w:tcPr>
            <w:noWrap/>
          </w:tcPr>
          <w:p>
            <w:pPr>
              <w:spacing w:after="200"/>
            </w:pPr>
            <w:hyperlink r:id="rId32" w:history="1">
              <w:r>
                <w:rPr>
                  <w:color w:val="1e198e"/>
                  <w:b w:val="1"/>
                  <w:bCs w:val="1"/>
                  <w:u w:val="single"/>
                </w:rPr>
                <w:t xml:space="preserve">Experiences with deliberation in the Islamic Republic of Iran</w:t>
              </w:r>
            </w:hyperlink>
          </w:p>
          <w:p>
            <w:pPr/>
            <w:hyperlink r:id="rId11" w:history="1">
              <w:r>
                <w:rPr>
                  <w:color w:val="#410a8c"/>
                  <w:u w:val="single"/>
                </w:rPr>
                <w:t xml:space="preserve">Sahar Aurore Saeidnia</w:t>
              </w:r>
            </w:hyperlink>
          </w:p>
          <w:p>
            <w:pPr/>
            <w:r>
              <w:rPr/>
              <w:t xml:space="preserve">Palgrave Macmillan. </w:t>
            </w:r>
            <w:r>
              <w:rPr>
                <w:i w:val="1"/>
                <w:iCs w:val="1"/>
              </w:rPr>
              <w:t xml:space="preserve">Deliberation in Divided Societies: Case Studies and Cross-Sectional Analysis</w:t>
            </w:r>
            <w:r>
              <w:rPr/>
              <w:t xml:space="preserve">, pp.172-185, 2014</w:t>
            </w:r>
          </w:p>
          <w:p>
            <w:pPr/>
            <w:r>
              <w:rPr/>
              <w:t xml:space="preserve">Chapitre d'ouvrage</w:t>
            </w:r>
          </w:p>
          <w:p>
            <w:pPr/>
            <w:hyperlink r:id="rId32" w:history="1">
              <w:r>
                <w:rPr>
                  <w:color w:val="#410a8c"/>
                  <w:u w:val="single"/>
                </w:rPr>
                <w:t xml:space="preserve">halshs-03542531v1</w:t>
              </w:r>
            </w:hyperlink>
          </w:p>
        </w:tc>
      </w:tr>
      <w:tr>
        <w:trPr/>
        <w:tc>
          <w:tcPr>
            <w:noWrap/>
          </w:tcPr>
          <w:p>
            <w:pPr>
              <w:spacing w:after="200"/>
            </w:pPr>
            <w:hyperlink r:id="rId33" w:history="1">
              <w:r>
                <w:rPr>
                  <w:color w:val="1e198e"/>
                  <w:b w:val="1"/>
                  <w:bCs w:val="1"/>
                  <w:u w:val="single"/>
                </w:rPr>
                <w:t xml:space="preserve">Les conseils de quartier en République Islamique d’Iran : L’exemple de Téhéran</w:t>
              </w:r>
            </w:hyperlink>
          </w:p>
          <w:p>
            <w:pPr/>
            <w:hyperlink r:id="rId11" w:history="1">
              <w:r>
                <w:rPr>
                  <w:color w:val="#410a8c"/>
                  <w:u w:val="single"/>
                </w:rPr>
                <w:t xml:space="preserve">Sahar Aurore Saeidnia</w:t>
              </w:r>
            </w:hyperlink>
          </w:p>
          <w:p>
            <w:pPr/>
            <w:r>
              <w:rPr/>
              <w:t xml:space="preserve">Karthala &amp; IFRI. </w:t>
            </w:r>
            <w:r>
              <w:rPr>
                <w:i w:val="1"/>
                <w:iCs w:val="1"/>
              </w:rPr>
              <w:t xml:space="preserve">Le Téhéran des quartiers populaires. Transformation urbaine et société civile dans une république islamique</w:t>
            </w:r>
            <w:r>
              <w:rPr/>
              <w:t xml:space="preserve">, 2013</w:t>
            </w:r>
          </w:p>
          <w:p>
            <w:pPr/>
            <w:r>
              <w:rPr/>
              <w:t xml:space="preserve">Chapitre d'ouvrage</w:t>
            </w:r>
          </w:p>
          <w:p>
            <w:pPr/>
            <w:hyperlink r:id="rId33" w:history="1">
              <w:r>
                <w:rPr>
                  <w:color w:val="#410a8c"/>
                  <w:u w:val="single"/>
                </w:rPr>
                <w:t xml:space="preserve">halshs-03542529v1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8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har-saeidnia" TargetMode="External"/><Relationship Id="rId8" Type="http://schemas.openxmlformats.org/officeDocument/2006/relationships/hyperlink" Target="https://orcid.org/0000-0002-7718-1036" TargetMode="External"/><Relationship Id="rId9" Type="http://schemas.openxmlformats.org/officeDocument/2006/relationships/hyperlink" Target="https://www.idref.fr/254016030" TargetMode="External"/><Relationship Id="rId10" Type="http://schemas.openxmlformats.org/officeDocument/2006/relationships/hyperlink" Target="https://hal.science/hal-04779700v1" TargetMode="External"/><Relationship Id="rId11" Type="http://schemas.openxmlformats.org/officeDocument/2006/relationships/hyperlink" Target="https://hal.science/search/index/?q=*&amp;authFullName_s=Sahar Aurore Saeidnia" TargetMode="External"/><Relationship Id="rId12" Type="http://schemas.openxmlformats.org/officeDocument/2006/relationships/hyperlink" Target="https://dx.doi.org/10.3917/come.128.0152" TargetMode="External"/><Relationship Id="rId13" Type="http://schemas.openxmlformats.org/officeDocument/2006/relationships/hyperlink" Target="https://shs.hal.science/halshs-04372407v1" TargetMode="External"/><Relationship Id="rId14" Type="http://schemas.openxmlformats.org/officeDocument/2006/relationships/hyperlink" Target="https://hal.science/search/index/?q=*&amp;authFullName_s=Lucia Direnberger" TargetMode="External"/><Relationship Id="rId15" Type="http://schemas.openxmlformats.org/officeDocument/2006/relationships/hyperlink" Target="https://hal.science/search/index/?q=*&amp;authFullName_s=Sahar A Saeidnia" TargetMode="External"/><Relationship Id="rId16" Type="http://schemas.openxmlformats.org/officeDocument/2006/relationships/hyperlink" Target="https://dx.doi.org/10.4000/gss.7860" TargetMode="External"/><Relationship Id="rId17" Type="http://schemas.openxmlformats.org/officeDocument/2006/relationships/hyperlink" Target="https://shs.hal.science/halshs-03539031v1" TargetMode="External"/><Relationship Id="rId18" Type="http://schemas.openxmlformats.org/officeDocument/2006/relationships/hyperlink" Target="https://dx.doi.org/10.3917/gap.194.0145" TargetMode="External"/><Relationship Id="rId19" Type="http://schemas.openxmlformats.org/officeDocument/2006/relationships/hyperlink" Target="https://shs.hal.science/halshs-03539024v1" TargetMode="External"/><Relationship Id="rId20" Type="http://schemas.openxmlformats.org/officeDocument/2006/relationships/hyperlink" Target="https://dx.doi.org/10.3917/ripc.253.0027" TargetMode="External"/><Relationship Id="rId21" Type="http://schemas.openxmlformats.org/officeDocument/2006/relationships/hyperlink" Target="https://shs.hal.science/halshs-03539042v1" TargetMode="External"/><Relationship Id="rId22" Type="http://schemas.openxmlformats.org/officeDocument/2006/relationships/hyperlink" Target="https://hal.science/search/index/?q=*&amp;authFullName_s=Sahar Saeidnia" TargetMode="External"/><Relationship Id="rId23" Type="http://schemas.openxmlformats.org/officeDocument/2006/relationships/hyperlink" Target="https://dx.doi.org/10.3917/csp.015.0129" TargetMode="External"/><Relationship Id="rId24" Type="http://schemas.openxmlformats.org/officeDocument/2006/relationships/hyperlink" Target="https://shs.hal.science/halshs-03539054v1" TargetMode="External"/><Relationship Id="rId25" Type="http://schemas.openxmlformats.org/officeDocument/2006/relationships/hyperlink" Target="https://hal.science/search/index/?q=*&amp;authFullName_s=Laura Ruiz de Elvira" TargetMode="External"/><Relationship Id="rId26" Type="http://schemas.openxmlformats.org/officeDocument/2006/relationships/hyperlink" Target="https://shs.hal.science/halshs-03542505v1" TargetMode="External"/><Relationship Id="rId27" Type="http://schemas.openxmlformats.org/officeDocument/2006/relationships/hyperlink" Target="https://hal.science/search/index/?q=*&amp;authFullName_s=Anthony Lang" TargetMode="External"/><Relationship Id="rId28" Type="http://schemas.openxmlformats.org/officeDocument/2006/relationships/hyperlink" Target="https://hal.science/hal-04775449v1" TargetMode="External"/><Relationship Id="rId29" Type="http://schemas.openxmlformats.org/officeDocument/2006/relationships/hyperlink" Target="https://hal.science/search/index/?q=*&amp;authFullName_s=Leila Drif" TargetMode="External"/><Relationship Id="rId30" Type="http://schemas.openxmlformats.org/officeDocument/2006/relationships/hyperlink" Target="https://shs.hal.science/halshs-03542518v1" TargetMode="External"/><Relationship Id="rId31" Type="http://schemas.openxmlformats.org/officeDocument/2006/relationships/hyperlink" Target="https://shs.hal.science/halshs-03542522v1" TargetMode="External"/><Relationship Id="rId32" Type="http://schemas.openxmlformats.org/officeDocument/2006/relationships/hyperlink" Target="https://shs.hal.science/halshs-03542531v1" TargetMode="External"/><Relationship Id="rId33" Type="http://schemas.openxmlformats.org/officeDocument/2006/relationships/hyperlink" Target="https://shs.hal.science/halshs-03542529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Sahar Saeidnia</dc:title>
  <dc:description>CV</dc:description>
  <dc:subject/>
  <cp:keywords/>
  <cp:category/>
  <cp:lastModifiedBy/>
  <dcterms:created xsi:type="dcterms:W3CDTF">2026-04-15T22:40:53+02:00</dcterms:created>
  <dcterms:modified xsi:type="dcterms:W3CDTF">2026-04-15T22:40:53+02:00</dcterms:modified>
</cp:coreProperties>
</file>

<file path=docProps/custom.xml><?xml version="1.0" encoding="utf-8"?>
<Properties xmlns="http://schemas.openxmlformats.org/officeDocument/2006/custom-properties" xmlns:vt="http://schemas.openxmlformats.org/officeDocument/2006/docPropsVTypes"/>
</file>