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Sangoul Ndong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sangoul-ndong</w:t>
        </w:r>
      </w:hyperlink>
    </w:p>
    <w:p>
      <w:pPr>
        <w:numPr>
          <w:ilvl w:val="0"/>
          <w:numId w:val="1"/>
        </w:numPr>
      </w:pPr>
      <w:r>
        <w:rPr/>
        <w:t xml:space="preserve"> ORCID : </w:t>
      </w:r>
      <w:hyperlink r:id="rId9" w:history="1">
        <w:r>
          <w:rPr>
            <w:color w:val="#410a8c"/>
            <w:u w:val="single"/>
          </w:rPr>
          <w:t xml:space="preserve">0000-0003-1071-7841</w:t>
        </w:r>
      </w:hyperlink>
    </w:p>
    <w:p>
      <w:pPr>
        <w:spacing w:before="600"/>
      </w:pPr>
    </w:p>
    <w:p>
      <w:pPr>
        <w:pStyle w:val="Heading2"/>
      </w:pPr>
      <w:r>
        <w:rPr>
          <w:color w:val="1e198e"/>
          <w:b w:val="1"/>
          <w:bCs w:val="1"/>
        </w:rPr>
        <w:t xml:space="preserve">Présentation</w:t>
      </w:r>
    </w:p>
    <w:p>
      <w:pPr>
        <w:spacing w:after="100"/>
      </w:pPr>
    </w:p>
    <w:p>
      <w:pPr/>
      <w:r>
        <w:rPr/>
        <w:t xml:space="preserve">Sangoul Ndong est docteur de l’Université Cheikh Anta Diop de Dakar (Sénégal, 2008), docteur de l’Université Paris Sorbonne (France, 2019) et Professeur assimilé à l’Université Assane Seck de Ziguinchor (Sénégal) où il enseigne la Littérature française depuis 2013.</w:t>
      </w:r>
    </w:p>
    <w:p>
      <w:pPr/>
      <w:r>
        <w:rPr/>
        <w:t xml:space="preserve">Sangoul Ndong est affilié au CREILHAC (Centre de Recherche Interdisciplinaire sur les Langues, les Littératures, l’Histoire, les Arts et les Cultures) et au CELLF 16-18 (Centre d’Études de la Langue et des Littératures Françaises, XVIe-XVIIIe siècles. UMR 8599, CNRS, Université Paris-Sorbonne).</w:t>
      </w:r>
    </w:p>
    <w:p>
      <w:pPr/>
      <w:r>
        <w:rPr/>
        <w:t xml:space="preserve">Ses activités de recherche portent sur les pouvoirs de mobilisation ou la dimension pragmatique de la poésie militante dans les périodes de crise, essentiellement dans les œuvres satiristes, polémistes et pamphlétaires des guerres de religion en France au XVIe siècle.</w:t>
      </w:r>
    </w:p>
    <w:p>
      <w:pPr/>
      <w:r>
        <w:rPr>
          <w:b w:val="1"/>
          <w:bCs w:val="1"/>
        </w:rPr>
        <w:t xml:space="preserve">Identifiants de chercheur</w:t>
      </w:r>
      <w:r>
        <w:rPr/>
        <w:t xml:space="preserve"> :</w:t>
      </w:r>
    </w:p>
    <w:p>
      <w:pPr>
        <w:numPr>
          <w:ilvl w:val="0"/>
          <w:numId w:val="2"/>
        </w:numPr>
      </w:pPr>
      <w:r>
        <w:rPr/>
        <w:t xml:space="preserve">HAL : </w:t>
      </w:r>
      <w:hyperlink r:id="rId10" w:history="1">
        <w:r>
          <w:rPr>
            <w:color w:val="#410a8c"/>
            <w:u w:val="single"/>
          </w:rPr>
          <w:t xml:space="preserve">https://cv.hal.science/sangoul-ndong</w:t>
        </w:r>
      </w:hyperlink>
    </w:p>
    <w:p>
      <w:pPr>
        <w:numPr>
          <w:ilvl w:val="0"/>
          <w:numId w:val="2"/>
        </w:numPr>
      </w:pPr>
      <w:r>
        <w:rPr/>
        <w:t xml:space="preserve">ORCID : </w:t>
      </w:r>
      <w:hyperlink r:id="rId9" w:history="1">
        <w:r>
          <w:rPr>
            <w:color w:val="#410a8c"/>
            <w:u w:val="single"/>
          </w:rPr>
          <w:t xml:space="preserve">https://orcid.org/0000-0003-1071-7841</w:t>
        </w:r>
      </w:hyperlink>
    </w:p>
    <w:p>
      <w:pPr>
        <w:numPr>
          <w:ilvl w:val="0"/>
          <w:numId w:val="2"/>
        </w:numPr>
      </w:pPr>
      <w:r>
        <w:rPr/>
        <w:t xml:space="preserve">UASZ : </w:t>
      </w:r>
      <w:hyperlink r:id="rId11" w:history="1">
        <w:r>
          <w:rPr>
            <w:color w:val="#410a8c"/>
            <w:u w:val="single"/>
          </w:rPr>
          <w:t xml:space="preserve">https://sites.google.com/univ-zig.sn/sangoul-ndong-uasz</w:t>
        </w:r>
      </w:hyperlink>
    </w:p>
    <w:p>
      <w:pPr>
        <w:numPr>
          <w:ilvl w:val="0"/>
          <w:numId w:val="2"/>
        </w:numPr>
      </w:pPr>
      <w:r>
        <w:rPr/>
        <w:t xml:space="preserve">LINKEDIN : </w:t>
      </w:r>
      <w:hyperlink r:id="rId12" w:history="1">
        <w:r>
          <w:rPr>
            <w:color w:val="#410a8c"/>
            <w:u w:val="single"/>
          </w:rPr>
          <w:t xml:space="preserve">https://www.linkedin.com/in/sangoul-ndong-75a991302</w:t>
        </w:r>
      </w:hyperlink>
    </w:p>
    <w:p>
      <w:pPr/>
      <w:r>
        <w:rPr>
          <w:b w:val="1"/>
          <w:bCs w:val="1"/>
        </w:rPr>
        <w:t xml:space="preserve">Axes de recherche</w:t>
      </w:r>
      <w:r>
        <w:rPr/>
        <w:t xml:space="preserve"> :Guerres de religion, Bible, Réforme protestante, poésie militante, poésie d'action, satire, polémique, pamphlet, théories de l'argumentation et de l'énonciation, fabrique de la persuasion, rhétorique, pragmatique, actes de langage, analyse du discours littéraire.</w:t>
      </w:r>
    </w:p>
    <w:p>
      <w:pPr/>
      <w:r>
        <w:rPr>
          <w:b w:val="1"/>
          <w:bCs w:val="1"/>
        </w:rPr>
        <w:t xml:space="preserve">Les communications de Sangoul Ndong à paraître dans les actes de colloques où elles ont été données</w:t>
      </w:r>
      <w:r>
        <w:rPr/>
        <w:t xml:space="preserve"> :[1] « Toi l’écrivain… nul ne te croira : L’État africain dans tous ses états dans le roman post-colonial francophone ». Communication donnée au colloque </w:t>
      </w:r>
      <w:r>
        <w:rPr>
          <w:i w:val="1"/>
          <w:iCs w:val="1"/>
        </w:rPr>
        <w:t xml:space="preserve">L’État : entre universalisme et variabilités des pratiques</w:t>
      </w:r>
      <w:r>
        <w:rPr/>
        <w:t xml:space="preserve"> co-organisé avec Mohamed Lamine Manga, membre du CREILHAC, les 6,7 et 8 décembre 2023 à l’UASZ.</w:t>
      </w:r>
    </w:p>
    <w:p>
      <w:pPr/>
      <w:r>
        <w:rPr/>
        <w:t xml:space="preserve">[2] « La guerre des libelles, ou écrire par extrême nécessité en France au XVIe siècle ». Communication donnée au colloque </w:t>
      </w:r>
      <w:r>
        <w:rPr>
          <w:i w:val="1"/>
          <w:iCs w:val="1"/>
        </w:rPr>
        <w:t xml:space="preserve">Le passé qui ne veut pas passer : la propagande au croisement des regards multiples (langues, littératures, traduction, arts)</w:t>
      </w:r>
      <w:r>
        <w:rPr/>
        <w:t xml:space="preserve"> organisé par l’Institut de Recherche en Langues et Littératures Européennes (UR 4363) du 12 au 13 juin 2023 à l’Université de Haute-Alsace, Mulhouse.</w:t>
      </w:r>
    </w:p>
    <w:p>
      <w:pPr/>
      <w:r>
        <w:rPr/>
        <w:t xml:space="preserve">[3] « La patience invaincue d’un champion de la foi : Anne du Bourg ». Communication donnée au colloque </w:t>
      </w:r>
      <w:r>
        <w:rPr>
          <w:i w:val="1"/>
          <w:iCs w:val="1"/>
        </w:rPr>
        <w:t xml:space="preserve">La figure du héros dans la littérature, les arts et les discours</w:t>
      </w:r>
      <w:r>
        <w:rPr/>
        <w:t xml:space="preserve"> organisé par l’Institut supérieur des études appliquées en humanités de Gafsa et l’Institut supérieur d’arts et métiers de Gafsa les 1er, 2 et 3 mars 2022 à l’Université de Gafsa, Tunisie.</w:t>
      </w:r>
    </w:p>
    <w:p>
      <w:pPr/>
      <w:r>
        <w:rPr>
          <w:b w:val="1"/>
          <w:bCs w:val="1"/>
        </w:rPr>
        <w:t xml:space="preserve">Les publications réalisées par Sangoul Ndong</w:t>
      </w:r>
      <w:r>
        <w:rPr/>
        <w:t xml:space="preserve"> :[1] « L’ironie : modes et valeurs dans Les Tragiques d’Agrippa d’Aubigné », </w:t>
      </w:r>
      <w:r>
        <w:rPr>
          <w:i w:val="1"/>
          <w:iCs w:val="1"/>
        </w:rPr>
        <w:t xml:space="preserve">Territoires de la langue. Hommage à Mohamadou Kane, Revue sénégalaise de langues et de littérature, nouvelle série, nos1-2</w:t>
      </w:r>
      <w:r>
        <w:rPr/>
        <w:t xml:space="preserve">, Université Cheikh Anta Diop de Dakar, Département de Lettres Modernes, 2012, pp. 323-338. ISSN 2279-4220.</w:t>
      </w:r>
    </w:p>
    <w:p>
      <w:pPr/>
      <w:r>
        <w:rPr/>
        <w:t xml:space="preserve">[2] « L’enrôlement à rebours dans Les Tragiques d’Agrippa d’Aubigné », </w:t>
      </w:r>
      <w:r>
        <w:rPr>
          <w:i w:val="1"/>
          <w:iCs w:val="1"/>
        </w:rPr>
        <w:t xml:space="preserve">Babel-Littératures plurielles, n°28</w:t>
      </w:r>
      <w:r>
        <w:rPr/>
        <w:t xml:space="preserve">, Université de Toulon-Var, Faculté des Lettres et Sciences Humaines, 2013, pp. 221-238. DOI : </w:t>
      </w:r>
      <w:hyperlink r:id="rId13" w:history="1">
        <w:r>
          <w:rPr>
            <w:color w:val="#410a8c"/>
            <w:u w:val="single"/>
          </w:rPr>
          <w:t xml:space="preserve">https://doi.org/10.4000/babel.3535</w:t>
        </w:r>
      </w:hyperlink>
      <w:r>
        <w:rPr/>
        <w:t xml:space="preserve">. ISSN 2263-4746.</w:t>
      </w:r>
    </w:p>
    <w:p>
      <w:pPr/>
      <w:r>
        <w:rPr/>
        <w:t xml:space="preserve">[3] « Ronsard et la verve licencieuse », </w:t>
      </w:r>
      <w:r>
        <w:rPr>
          <w:i w:val="1"/>
          <w:iCs w:val="1"/>
        </w:rPr>
        <w:t xml:space="preserve">Voix plurielles, n°2, vol. 11</w:t>
      </w:r>
      <w:r>
        <w:rPr/>
        <w:t xml:space="preserve">, Brock University, Departement of Modern Languages, Litterature and Cultures, 2014, pp. 123-132. DOI : </w:t>
      </w:r>
      <w:hyperlink r:id="rId14" w:history="1">
        <w:r>
          <w:rPr>
            <w:color w:val="#410a8c"/>
            <w:u w:val="single"/>
          </w:rPr>
          <w:t xml:space="preserve">https://doi.org/10.26522/vp.v11i2.1106</w:t>
        </w:r>
      </w:hyperlink>
      <w:r>
        <w:rPr/>
        <w:t xml:space="preserve">. ISSN 1925-0614.</w:t>
      </w:r>
    </w:p>
    <w:p>
      <w:pPr/>
      <w:r>
        <w:rPr/>
        <w:t xml:space="preserve">[4] « Le rire intellectuel de Senghor », </w:t>
      </w:r>
      <w:r>
        <w:rPr>
          <w:i w:val="1"/>
          <w:iCs w:val="1"/>
        </w:rPr>
        <w:t xml:space="preserve">Revue sénégalaise de langues et de littérature, nouvelle série, n°3</w:t>
      </w:r>
      <w:r>
        <w:rPr/>
        <w:t xml:space="preserve">, Université Cheikh Anta Diop de Dakar, Département de Lettres Modernes, 2013, pp. 51-62. ISSN 2279-4220.</w:t>
      </w:r>
    </w:p>
    <w:p>
      <w:pPr/>
      <w:r>
        <w:rPr/>
        <w:t xml:space="preserve">[5] « L’éloquence huguenote. Lecture pragmatique de la dispositio des </w:t>
      </w:r>
      <w:r>
        <w:rPr>
          <w:i w:val="1"/>
          <w:iCs w:val="1"/>
        </w:rPr>
        <w:t xml:space="preserve">Tragiques</w:t>
      </w:r>
      <w:r>
        <w:rPr/>
        <w:t xml:space="preserve"> d’Agrippa d’Aubigné », communication éditée dans </w:t>
      </w:r>
      <w:r>
        <w:rPr>
          <w:i w:val="1"/>
          <w:iCs w:val="1"/>
        </w:rPr>
        <w:t xml:space="preserve">La digression au XVIe siècle</w:t>
      </w:r>
      <w:r>
        <w:rPr/>
        <w:t xml:space="preserve">, actes de la journée d’études organisée par Gérard Milhe Poutingon le 6 novembre 2014 à l’Université de Rouen, Publications numériques du CEREDI, n°13, 2015. URL : </w:t>
      </w:r>
      <w:hyperlink r:id="rId15" w:history="1">
        <w:r>
          <w:rPr>
            <w:color w:val="#410a8c"/>
            <w:u w:val="single"/>
          </w:rPr>
          <w:t xml:space="preserve">http://ceredi.labos.univ-rouen.fr/public/?l-eloquence-huguenotelecture.html</w:t>
        </w:r>
      </w:hyperlink>
      <w:r>
        <w:rPr/>
        <w:t xml:space="preserve">. ISSN 1775-4054.</w:t>
      </w:r>
    </w:p>
    <w:p>
      <w:pPr/>
      <w:r>
        <w:rPr/>
        <w:t xml:space="preserve">[6] « Le corps de Magamou, ou la dialectique de la charogne chez Malick Fall », </w:t>
      </w:r>
      <w:r>
        <w:rPr>
          <w:i w:val="1"/>
          <w:iCs w:val="1"/>
        </w:rPr>
        <w:t xml:space="preserve">Revue sénégalaise de langues et de littérature, n°8</w:t>
      </w:r>
      <w:r>
        <w:rPr/>
        <w:t xml:space="preserve">, Université Cheikh Anta Diop de Dakar, Département de Lettres Modernes, 2015, pp. 75-94. ISSN 2279-4220.</w:t>
      </w:r>
    </w:p>
    <w:p>
      <w:pPr/>
      <w:r>
        <w:rPr/>
        <w:t xml:space="preserve">[7] « Passion et civilisation dans Le Rouge et le Noir et Lucien Leuwen de Stendhal », communication éditée dans </w:t>
      </w:r>
      <w:r>
        <w:rPr>
          <w:i w:val="1"/>
          <w:iCs w:val="1"/>
        </w:rPr>
        <w:t xml:space="preserve">Agapè : de l’Amour dans le patrimoine littéraire</w:t>
      </w:r>
      <w:r>
        <w:rPr/>
        <w:t xml:space="preserve">, actes du colloque international organisé par le Centre de l’UNED-Jaén, l’Instituto de Estudios Giennenses et l’Université de Jaén les 10, 11 et 12 juin 2015 à l’Université de Jaén (Espagne), Paris, Harmattan, collection Perspectiva textual, 2019, pp. 59-74. ISBN 978-2-343-15869-3.</w:t>
      </w:r>
    </w:p>
    <w:p>
      <w:pPr/>
      <w:r>
        <w:rPr/>
        <w:t xml:space="preserve">[8] « Agrippa d’Aubigné, l’étincelle de Juvénal », communication éditée dans </w:t>
      </w:r>
      <w:r>
        <w:rPr>
          <w:i w:val="1"/>
          <w:iCs w:val="1"/>
        </w:rPr>
        <w:t xml:space="preserve">Présence de Juvénal</w:t>
      </w:r>
      <w:r>
        <w:rPr/>
        <w:t xml:space="preserve">, actes du colloque international organisé par le Centre de recherches André Piganiol et le Centre de recherches sur les Littératures et la Sociopoétique (CELIS) les 18, 19 et 20 novembre 2021 à l’Université Clermont Auvergne, textes réunis par Grégoire Blanc, Fabrice Galtier et Rémy Poignault, Publications du Centre de recherches André Piganiol, collection Caesarodunum LIV-LV bis, Clermont-Ferrand, 2022, p. 457-472. ISBN 978-2-900479-23-0.</w:t>
      </w:r>
    </w:p>
    <w:p>
      <w:pPr/>
      <w:r>
        <w:rPr/>
        <w:t xml:space="preserve">[9] « La patience du martyr huguenot, ou l’hymne à la tolérance chez Agrippa d’Aubigné », communication éditée dans </w:t>
      </w:r>
      <w:r>
        <w:rPr>
          <w:i w:val="1"/>
          <w:iCs w:val="1"/>
        </w:rPr>
        <w:t xml:space="preserve">Tolérance(s) II : Comment définir la tolérance ?</w:t>
      </w:r>
      <w:r>
        <w:rPr/>
        <w:t xml:space="preserve">, actes du colloque international organisé par Anna Carlstedt et Véronique Montagne les 11 et 12 octobre 2019 à l’Université Nice Côte d’Azur, mis en ligne le 07 octobre 2021, Revue Loxias, Centre Transdisciplinaire d’Épistémologie de la Littérature et des arts vivants (CTEL). URL : </w:t>
      </w:r>
      <w:hyperlink r:id="rId16" w:history="1">
        <w:r>
          <w:rPr>
            <w:color w:val="#410a8c"/>
            <w:u w:val="single"/>
          </w:rPr>
          <w:t xml:space="preserve">http://revel.unice.fr/symposia/actel/index.html?id=1751</w:t>
        </w:r>
      </w:hyperlink>
      <w:r>
        <w:rPr/>
        <w:t xml:space="preserve">. ISSN 1765-3096.</w:t>
      </w:r>
    </w:p>
    <w:p>
      <w:pPr/>
      <w:r>
        <w:rPr/>
        <w:t xml:space="preserve">[10] « L’écriture de la concernation : sacrilèges et corps violentés dans </w:t>
      </w:r>
      <w:r>
        <w:rPr>
          <w:i w:val="1"/>
          <w:iCs w:val="1"/>
        </w:rPr>
        <w:t xml:space="preserve">Les Tragiques</w:t>
      </w:r>
      <w:r>
        <w:rPr/>
        <w:t xml:space="preserve"> », </w:t>
      </w:r>
      <w:r>
        <w:rPr>
          <w:i w:val="1"/>
          <w:iCs w:val="1"/>
        </w:rPr>
        <w:t xml:space="preserve">Guerre et terrorisme, Revue Chameaux</w:t>
      </w:r>
      <w:r>
        <w:rPr/>
        <w:t xml:space="preserve">, Revue d’études littéraires de l’Université Laval, 2019. </w:t>
      </w:r>
      <w:hyperlink r:id="rId17" w:history="1">
        <w:r>
          <w:rPr>
            <w:color w:val="#410a8c"/>
            <w:u w:val="single"/>
          </w:rPr>
          <w:t xml:space="preserve">https://revuechameaux.org/numeros/guerre-et-terrorisme/lecriture-de-la-concernation-sacrileges-et-corps-violentes-dans-les-tragiques/</w:t>
        </w:r>
      </w:hyperlink>
    </w:p>
    <w:p>
      <w:pPr/>
      <w:r>
        <w:rPr/>
        <w:t xml:space="preserve">[11] « Le pays idéal : formes et enjeux de l’exil chez Agrippa d’Aubigné », </w:t>
      </w:r>
      <w:r>
        <w:rPr>
          <w:i w:val="1"/>
          <w:iCs w:val="1"/>
        </w:rPr>
        <w:t xml:space="preserve">Utopie/Dystopie ou la volonté de transformer le monde</w:t>
      </w:r>
      <w:r>
        <w:rPr/>
        <w:t xml:space="preserve">, ouvrage collectif dirigé et préfacé par Abdelghani El Himani, Laboratoire de recherche Langue, littérature, imaginaire et esthétique, Université Sidi Mohamed Ben Abdellah de Fès, Maroc, 2022, pp. 54-67. ISBN 978-9920-9380-5-1.</w:t>
      </w:r>
    </w:p>
    <w:p>
      <w:pPr/>
      <w:r>
        <w:rPr/>
        <w:t xml:space="preserve">[12] « Polémique sur la vraie piété : disciplina et iconoclasme dans la poésie dénonciatrice des guerres de religion », </w:t>
      </w:r>
      <w:r>
        <w:rPr>
          <w:i w:val="1"/>
          <w:iCs w:val="1"/>
        </w:rPr>
        <w:t xml:space="preserve">Littérature, Religion et Spiritualité</w:t>
      </w:r>
      <w:r>
        <w:rPr/>
        <w:t xml:space="preserve">, ouvrage collectif sous la direction de Pierre Suzanne Eyenga Onana et Édouard Mokwé, Revue Legs et littérature, n°19-20, vol. 2, Haïti, Port-au-Prince, 2022, pp. 49-68. ISBN 978-99970-71-29-3.</w:t>
      </w:r>
    </w:p>
    <w:p>
      <w:pPr/>
      <w:r>
        <w:rPr/>
        <w:t xml:space="preserve">[13] « Théodore de Bèze face aux &amp;quot;bons défenseurs de la foi cacolyque&amp;quot; : un silence stratégique avant l’ultime réponse ? », </w:t>
      </w:r>
      <w:r>
        <w:rPr>
          <w:i w:val="1"/>
          <w:iCs w:val="1"/>
        </w:rPr>
        <w:t xml:space="preserve">Laval théologique et philosophique, n°1, vol. 76</w:t>
      </w:r>
      <w:r>
        <w:rPr/>
        <w:t xml:space="preserve">, Université Laval, Faculté de théologie et de sciences religieuses, 2020, pp. 103-115. DOI : </w:t>
      </w:r>
      <w:hyperlink r:id="rId18" w:history="1">
        <w:r>
          <w:rPr>
            <w:color w:val="#410a8c"/>
            <w:u w:val="single"/>
          </w:rPr>
          <w:t xml:space="preserve">https://doi.org/10.7202/1075272ar</w:t>
        </w:r>
      </w:hyperlink>
      <w:r>
        <w:rPr/>
        <w:t xml:space="preserve">. ISSN 0023-9054 (papier) 1703-8804 (électronique).</w:t>
      </w:r>
    </w:p>
    <w:p>
      <w:pPr/>
      <w:r>
        <w:rPr/>
        <w:t xml:space="preserve">[14] « La voie des Princes et la voix du poète : la fabrique de la persuasion dans les Discours de Ronsard », </w:t>
      </w:r>
      <w:r>
        <w:rPr>
          <w:i w:val="1"/>
          <w:iCs w:val="1"/>
        </w:rPr>
        <w:t xml:space="preserve">Philologie d’hier à demain. Mélanges offerts à Nguissaly Sarré, Revue sénégalaise de langues et de littérature, nouvelle série, n°14/3</w:t>
      </w:r>
      <w:r>
        <w:rPr/>
        <w:t xml:space="preserve">, Université Cheikh Anta Diop de Dakar, Département de Lettres Modernes, 2020, pp. 161-174. ISSN 2279-4220.</w:t>
      </w:r>
    </w:p>
    <w:p>
      <w:pPr/>
      <w:r>
        <w:rPr/>
        <w:t xml:space="preserve">[15] « La répartie : place et enjeux dans les </w:t>
      </w:r>
      <w:r>
        <w:rPr>
          <w:i w:val="1"/>
          <w:iCs w:val="1"/>
        </w:rPr>
        <w:t xml:space="preserve">Discours des misères de ce temps</w:t>
      </w:r>
      <w:r>
        <w:rPr/>
        <w:t xml:space="preserve"> de Pierre de Ronsard », </w:t>
      </w:r>
      <w:r>
        <w:rPr>
          <w:i w:val="1"/>
          <w:iCs w:val="1"/>
        </w:rPr>
        <w:t xml:space="preserve">Babel-Littératures plurielles, n°48</w:t>
      </w:r>
      <w:r>
        <w:rPr/>
        <w:t xml:space="preserve">, Université de Toulon-Var, Faculté des Lettres et Sciences Humaines, second semestre 2023, pp. 339-356. ISSN 2263-4746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répartie : place et enjeux dans les Discours des misères de ce temps de Pierre de Ronsard</w:t>
              </w:r>
            </w:hyperlink>
          </w:p>
          <w:p>
            <w:pPr/>
            <w:hyperlink r:id="rId20" w:history="1">
              <w:r>
                <w:rPr>
                  <w:color w:val="#410a8c"/>
                  <w:u w:val="single"/>
                </w:rPr>
                <w:t xml:space="preserve">Sangoul Ndong</w:t>
              </w:r>
            </w:hyperlink>
          </w:p>
          <w:p>
            <w:pPr/>
            <w:r>
              <w:rPr>
                <w:i w:val="1"/>
                <w:iCs w:val="1"/>
              </w:rPr>
              <w:t xml:space="preserve">Babel : Civilisations et sociétés</w:t>
            </w:r>
            <w:r>
              <w:rPr/>
              <w:t xml:space="preserve">, 2023, Leonardo Sciascia : le pouvoir du (contre)récit, le (contre)récit du Pouvoir, 48, pp.401-422. </w:t>
            </w:r>
            <w:hyperlink r:id="rId21" w:history="1">
              <w:r>
                <w:rPr>
                  <w:color w:val="#410a8c"/>
                  <w:u w:val="single"/>
                </w:rPr>
                <w:t xml:space="preserve">⟨10.4000/babel.15564⟩</w:t>
              </w:r>
            </w:hyperlink>
          </w:p>
          <w:p>
            <w:pPr/>
            <w:r>
              <w:rPr/>
              <w:t xml:space="preserve">Article dans une revue</w:t>
            </w:r>
          </w:p>
          <w:p>
            <w:pPr/>
            <w:hyperlink r:id="rId19" w:history="1">
              <w:r>
                <w:rPr>
                  <w:color w:val="#410a8c"/>
                  <w:u w:val="single"/>
                </w:rPr>
                <w:t xml:space="preserve">hal-04492208v1</w:t>
              </w:r>
            </w:hyperlink>
          </w:p>
        </w:tc>
      </w:tr>
      <w:tr>
        <w:trPr/>
        <w:tc>
          <w:tcPr>
            <w:noWrap/>
          </w:tcPr>
          <w:p>
            <w:pPr>
              <w:spacing w:after="200"/>
            </w:pPr>
            <w:hyperlink r:id="rId22" w:history="1">
              <w:r>
                <w:rPr>
                  <w:color w:val="1e198e"/>
                  <w:b w:val="1"/>
                  <w:bCs w:val="1"/>
                  <w:u w:val="single"/>
                </w:rPr>
                <w:t xml:space="preserve">L'exil : formes et enjeux chez Agrippa d’Aubigné</w:t>
              </w:r>
            </w:hyperlink>
          </w:p>
          <w:p>
            <w:pPr/>
            <w:hyperlink r:id="rId20" w:history="1">
              <w:r>
                <w:rPr>
                  <w:color w:val="#410a8c"/>
                  <w:u w:val="single"/>
                </w:rPr>
                <w:t xml:space="preserve">Sangoul Ndong</w:t>
              </w:r>
            </w:hyperlink>
          </w:p>
          <w:p>
            <w:pPr/>
            <w:r>
              <w:rPr>
                <w:i w:val="1"/>
                <w:iCs w:val="1"/>
              </w:rPr>
              <w:t xml:space="preserve">Voix Plurielles</w:t>
            </w:r>
            <w:r>
              <w:rPr/>
              <w:t xml:space="preserve">, 2022, 19 (3), pp.606-617. </w:t>
            </w:r>
            <w:hyperlink r:id="rId23" w:history="1">
              <w:r>
                <w:rPr>
                  <w:color w:val="#410a8c"/>
                  <w:u w:val="single"/>
                </w:rPr>
                <w:t xml:space="preserve">⟨10.26522/vp.v19i2.4146⟩</w:t>
              </w:r>
            </w:hyperlink>
          </w:p>
          <w:p>
            <w:pPr/>
            <w:r>
              <w:rPr/>
              <w:t xml:space="preserve">Article dans une revue</w:t>
            </w:r>
          </w:p>
          <w:p>
            <w:pPr/>
            <w:hyperlink r:id="rId22" w:history="1">
              <w:r>
                <w:rPr>
                  <w:color w:val="#410a8c"/>
                  <w:u w:val="single"/>
                </w:rPr>
                <w:t xml:space="preserve">hal-04488258v1</w:t>
              </w:r>
            </w:hyperlink>
          </w:p>
        </w:tc>
      </w:tr>
      <w:tr>
        <w:trPr/>
        <w:tc>
          <w:tcPr>
            <w:noWrap/>
          </w:tcPr>
          <w:p>
            <w:pPr>
              <w:spacing w:after="200"/>
            </w:pPr>
            <w:hyperlink r:id="rId24" w:history="1">
              <w:r>
                <w:rPr>
                  <w:color w:val="1e198e"/>
                  <w:b w:val="1"/>
                  <w:bCs w:val="1"/>
                  <w:u w:val="single"/>
                </w:rPr>
                <w:t xml:space="preserve">Théodore de Bèze face aux « bons défenseurs de la foi cacolyque »</w:t>
              </w:r>
            </w:hyperlink>
          </w:p>
          <w:p>
            <w:pPr/>
            <w:hyperlink r:id="rId20" w:history="1">
              <w:r>
                <w:rPr>
                  <w:color w:val="#410a8c"/>
                  <w:u w:val="single"/>
                </w:rPr>
                <w:t xml:space="preserve">Sangoul Ndong</w:t>
              </w:r>
            </w:hyperlink>
          </w:p>
          <w:p>
            <w:pPr/>
            <w:r>
              <w:rPr>
                <w:i w:val="1"/>
                <w:iCs w:val="1"/>
              </w:rPr>
              <w:t xml:space="preserve">Laval théologique et philosophique</w:t>
            </w:r>
            <w:r>
              <w:rPr/>
              <w:t xml:space="preserve">, 2020, 76 (1), pp.103-115. </w:t>
            </w:r>
            <w:hyperlink r:id="rId25" w:history="1">
              <w:r>
                <w:rPr>
                  <w:color w:val="#410a8c"/>
                  <w:u w:val="single"/>
                </w:rPr>
                <w:t xml:space="preserve">⟨10.7202/1075272ar⟩</w:t>
              </w:r>
            </w:hyperlink>
          </w:p>
          <w:p>
            <w:pPr/>
            <w:r>
              <w:rPr/>
              <w:t xml:space="preserve">Article dans une revue</w:t>
            </w:r>
          </w:p>
          <w:p>
            <w:pPr/>
            <w:hyperlink r:id="rId24" w:history="1">
              <w:r>
                <w:rPr>
                  <w:color w:val="#410a8c"/>
                  <w:u w:val="single"/>
                </w:rPr>
                <w:t xml:space="preserve">hal-04488244v1</w:t>
              </w:r>
            </w:hyperlink>
          </w:p>
        </w:tc>
      </w:tr>
      <w:tr>
        <w:trPr/>
        <w:tc>
          <w:tcPr>
            <w:noWrap/>
          </w:tcPr>
          <w:p>
            <w:pPr>
              <w:spacing w:after="200"/>
            </w:pPr>
            <w:hyperlink r:id="rId26" w:history="1">
              <w:r>
                <w:rPr>
                  <w:color w:val="1e198e"/>
                  <w:b w:val="1"/>
                  <w:bCs w:val="1"/>
                  <w:u w:val="single"/>
                </w:rPr>
                <w:t xml:space="preserve">Ronsard et la verve licencieuse</w:t>
              </w:r>
            </w:hyperlink>
          </w:p>
          <w:p>
            <w:pPr/>
            <w:hyperlink r:id="rId20" w:history="1">
              <w:r>
                <w:rPr>
                  <w:color w:val="#410a8c"/>
                  <w:u w:val="single"/>
                </w:rPr>
                <w:t xml:space="preserve">Sangoul Ndong</w:t>
              </w:r>
            </w:hyperlink>
          </w:p>
          <w:p>
            <w:pPr/>
            <w:r>
              <w:rPr>
                <w:i w:val="1"/>
                <w:iCs w:val="1"/>
              </w:rPr>
              <w:t xml:space="preserve">Voix Plurielles</w:t>
            </w:r>
            <w:r>
              <w:rPr/>
              <w:t xml:space="preserve">, 2014</w:t>
            </w:r>
          </w:p>
          <w:p>
            <w:pPr/>
            <w:r>
              <w:rPr/>
              <w:t xml:space="preserve">Article dans une revue</w:t>
            </w:r>
          </w:p>
          <w:p>
            <w:pPr/>
            <w:hyperlink r:id="rId26" w:history="1">
              <w:r>
                <w:rPr>
                  <w:color w:val="#410a8c"/>
                  <w:u w:val="single"/>
                </w:rPr>
                <w:t xml:space="preserve">hal-02147744v1</w:t>
              </w:r>
            </w:hyperlink>
          </w:p>
        </w:tc>
      </w:tr>
      <w:tr>
        <w:trPr/>
        <w:tc>
          <w:tcPr>
            <w:noWrap/>
          </w:tcPr>
          <w:p>
            <w:pPr>
              <w:spacing w:after="200"/>
            </w:pPr>
            <w:hyperlink r:id="rId27" w:history="1">
              <w:r>
                <w:rPr>
                  <w:color w:val="1e198e"/>
                  <w:b w:val="1"/>
                  <w:bCs w:val="1"/>
                  <w:u w:val="single"/>
                </w:rPr>
                <w:t xml:space="preserve">L'enrôlement à rebours dans Les Tragiques d'Agrippa d'Aubigné</w:t>
              </w:r>
            </w:hyperlink>
          </w:p>
          <w:p>
            <w:pPr/>
            <w:hyperlink r:id="rId20" w:history="1">
              <w:r>
                <w:rPr>
                  <w:color w:val="#410a8c"/>
                  <w:u w:val="single"/>
                </w:rPr>
                <w:t xml:space="preserve">Sangoul Ndong</w:t>
              </w:r>
            </w:hyperlink>
          </w:p>
          <w:p>
            <w:pPr/>
            <w:r>
              <w:rPr>
                <w:i w:val="1"/>
                <w:iCs w:val="1"/>
              </w:rPr>
              <w:t xml:space="preserve">Babel : Littératures plurielles</w:t>
            </w:r>
            <w:r>
              <w:rPr/>
              <w:t xml:space="preserve">, 2013, Le prisme américain, 28, pp.221-238. </w:t>
            </w:r>
            <w:hyperlink r:id="rId28" w:history="1">
              <w:r>
                <w:rPr>
                  <w:color w:val="#410a8c"/>
                  <w:u w:val="single"/>
                </w:rPr>
                <w:t xml:space="preserve">⟨10.4000/babel.3535⟩</w:t>
              </w:r>
            </w:hyperlink>
          </w:p>
          <w:p>
            <w:pPr/>
            <w:r>
              <w:rPr/>
              <w:t xml:space="preserve">Article dans une revue</w:t>
            </w:r>
          </w:p>
          <w:p>
            <w:pPr/>
            <w:hyperlink r:id="rId27" w:history="1">
              <w:r>
                <w:rPr>
                  <w:color w:val="#410a8c"/>
                  <w:u w:val="single"/>
                </w:rPr>
                <w:t xml:space="preserve">hal-02147743v1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patience du martyr huguenot, ou l’hymne à la tolérance chez Agrippa d’Aubigné</w:t>
              </w:r>
            </w:hyperlink>
          </w:p>
          <w:p>
            <w:pPr/>
            <w:hyperlink r:id="rId20" w:history="1">
              <w:r>
                <w:rPr>
                  <w:color w:val="#410a8c"/>
                  <w:u w:val="single"/>
                </w:rPr>
                <w:t xml:space="preserve">Sangoul Ndong</w:t>
              </w:r>
            </w:hyperlink>
          </w:p>
          <w:p>
            <w:pPr/>
            <w:r>
              <w:rPr>
                <w:i w:val="1"/>
                <w:iCs w:val="1"/>
              </w:rPr>
              <w:t xml:space="preserve">Tolérance(s) II : Comment définir la tolérance?</w:t>
            </w:r>
            <w:r>
              <w:rPr/>
              <w:t xml:space="preserve">, Oct 2019, Nice, France</w:t>
            </w:r>
          </w:p>
          <w:p>
            <w:pPr/>
            <w:r>
              <w:rPr/>
              <w:t xml:space="preserve">Communication dans un congrès</w:t>
            </w:r>
          </w:p>
          <w:p>
            <w:pPr/>
            <w:hyperlink r:id="rId29" w:history="1">
              <w:r>
                <w:rPr>
                  <w:color w:val="#410a8c"/>
                  <w:u w:val="single"/>
                </w:rPr>
                <w:t xml:space="preserve">hal-04488275v2</w:t>
              </w:r>
            </w:hyperlink>
          </w:p>
        </w:tc>
      </w:tr>
      <w:tr>
        <w:trPr/>
        <w:tc>
          <w:tcPr>
            <w:noWrap/>
          </w:tcPr>
          <w:p>
            <w:pPr>
              <w:spacing w:after="200"/>
            </w:pPr>
            <w:hyperlink r:id="rId30" w:history="1">
              <w:r>
                <w:rPr>
                  <w:color w:val="1e198e"/>
                  <w:b w:val="1"/>
                  <w:bCs w:val="1"/>
                  <w:u w:val="single"/>
                </w:rPr>
                <w:t xml:space="preserve">L'éloquence huguenote. Lecture pragmatique de la dispositio des Tragiques d'Agrippa d'Aubigné.</w:t>
              </w:r>
            </w:hyperlink>
          </w:p>
          <w:p>
            <w:pPr/>
            <w:hyperlink r:id="rId20" w:history="1">
              <w:r>
                <w:rPr>
                  <w:color w:val="#410a8c"/>
                  <w:u w:val="single"/>
                </w:rPr>
                <w:t xml:space="preserve">Sangoul Ndong</w:t>
              </w:r>
            </w:hyperlink>
          </w:p>
          <w:p>
            <w:pPr/>
            <w:r>
              <w:rPr>
                <w:i w:val="1"/>
                <w:iCs w:val="1"/>
              </w:rPr>
              <w:t xml:space="preserve">Journée d'étude La digression au XVIe siècle</w:t>
            </w:r>
            <w:r>
              <w:rPr/>
              <w:t xml:space="preserve">, Nov 2014, Rouen, France</w:t>
            </w:r>
          </w:p>
          <w:p>
            <w:pPr/>
            <w:r>
              <w:rPr/>
              <w:t xml:space="preserve">Communication dans un congrès</w:t>
            </w:r>
          </w:p>
          <w:p>
            <w:pPr/>
            <w:hyperlink r:id="rId30" w:history="1">
              <w:r>
                <w:rPr>
                  <w:color w:val="#410a8c"/>
                  <w:u w:val="single"/>
                </w:rPr>
                <w:t xml:space="preserve">hal-02147742v1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C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2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goul-ndong" TargetMode="External"/><Relationship Id="rId9" Type="http://schemas.openxmlformats.org/officeDocument/2006/relationships/hyperlink" Target="https://orcid.org/0000-0003-1071-7841" TargetMode="External"/><Relationship Id="rId10" Type="http://schemas.openxmlformats.org/officeDocument/2006/relationships/hyperlink" Target="https://cv.hal.science/sangoul-ndong" TargetMode="External"/><Relationship Id="rId11" Type="http://schemas.openxmlformats.org/officeDocument/2006/relationships/hyperlink" Target="https://sites.google.com/univ-zig.sn/sangoul-ndong-uasz" TargetMode="External"/><Relationship Id="rId12" Type="http://schemas.openxmlformats.org/officeDocument/2006/relationships/hyperlink" Target="https://www.linkedin.com/in/sangoul-ndong-75a991302" TargetMode="External"/><Relationship Id="rId13" Type="http://schemas.openxmlformats.org/officeDocument/2006/relationships/hyperlink" Target="https://doi.org/10.4000/babel.3535" TargetMode="External"/><Relationship Id="rId14" Type="http://schemas.openxmlformats.org/officeDocument/2006/relationships/hyperlink" Target="https://doi.org/10.26522/vp.v11i2.1106" TargetMode="External"/><Relationship Id="rId15" Type="http://schemas.openxmlformats.org/officeDocument/2006/relationships/hyperlink" Target="http://ceredi.labos.univ-rouen.fr/public/?l-eloquence-huguenotelecture.html" TargetMode="External"/><Relationship Id="rId16" Type="http://schemas.openxmlformats.org/officeDocument/2006/relationships/hyperlink" Target="http://revel.unice.fr/symposia/actel/index.html?id=1751" TargetMode="External"/><Relationship Id="rId17" Type="http://schemas.openxmlformats.org/officeDocument/2006/relationships/hyperlink" Target="https://revuechameaux.org/numeros/guerre-et-terrorisme/lecriture-de-la-concernation-sacrileges-et-corps-violentes-dans-les-tragiques/" TargetMode="External"/><Relationship Id="rId18" Type="http://schemas.openxmlformats.org/officeDocument/2006/relationships/hyperlink" Target="https://doi.org/10.7202/1075272ar" TargetMode="External"/><Relationship Id="rId19" Type="http://schemas.openxmlformats.org/officeDocument/2006/relationships/hyperlink" Target="https://hal.science/hal-04492208v1" TargetMode="External"/><Relationship Id="rId20" Type="http://schemas.openxmlformats.org/officeDocument/2006/relationships/hyperlink" Target="https://hal.science/search/index/?q=*&amp;authFullName_s=Sangoul Ndong" TargetMode="External"/><Relationship Id="rId21" Type="http://schemas.openxmlformats.org/officeDocument/2006/relationships/hyperlink" Target="https://dx.doi.org/10.4000/babel.15564" TargetMode="External"/><Relationship Id="rId22" Type="http://schemas.openxmlformats.org/officeDocument/2006/relationships/hyperlink" Target="https://hal.science/hal-04488258v1" TargetMode="External"/><Relationship Id="rId23" Type="http://schemas.openxmlformats.org/officeDocument/2006/relationships/hyperlink" Target="https://dx.doi.org/10.26522/vp.v19i2.4146" TargetMode="External"/><Relationship Id="rId24" Type="http://schemas.openxmlformats.org/officeDocument/2006/relationships/hyperlink" Target="https://hal.science/hal-04488244v1" TargetMode="External"/><Relationship Id="rId25" Type="http://schemas.openxmlformats.org/officeDocument/2006/relationships/hyperlink" Target="https://dx.doi.org/10.7202/1075272ar" TargetMode="External"/><Relationship Id="rId26" Type="http://schemas.openxmlformats.org/officeDocument/2006/relationships/hyperlink" Target="https://hal.science/hal-02147744v1" TargetMode="External"/><Relationship Id="rId27" Type="http://schemas.openxmlformats.org/officeDocument/2006/relationships/hyperlink" Target="https://hal.science/hal-02147743v1" TargetMode="External"/><Relationship Id="rId28" Type="http://schemas.openxmlformats.org/officeDocument/2006/relationships/hyperlink" Target="https://dx.doi.org/10.4000/babel.3535" TargetMode="External"/><Relationship Id="rId29" Type="http://schemas.openxmlformats.org/officeDocument/2006/relationships/hyperlink" Target="https://hal.science/hal-04488275v2" TargetMode="External"/><Relationship Id="rId30" Type="http://schemas.openxmlformats.org/officeDocument/2006/relationships/hyperlink" Target="https://hal.science/hal-02147742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Sangoul Ndong</dc:title>
  <dc:description>CV</dc:description>
  <dc:subject/>
  <cp:keywords/>
  <cp:category/>
  <cp:lastModifiedBy/>
  <dcterms:created xsi:type="dcterms:W3CDTF">2026-03-15T20:31:40+01:00</dcterms:created>
  <dcterms:modified xsi:type="dcterms:W3CDTF">2026-03-15T20:31:40+01:00</dcterms:modified>
</cp:coreProperties>
</file>

<file path=docProps/custom.xml><?xml version="1.0" encoding="utf-8"?>
<Properties xmlns="http://schemas.openxmlformats.org/officeDocument/2006/custom-properties" xmlns:vt="http://schemas.openxmlformats.org/officeDocument/2006/docPropsVTypes"/>
</file>