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Sarah Rohde </w:t>
      </w:r>
      <w:r>
        <w:rPr>
          <w:color w:val="641e6e"/>
        </w:rPr>
        <w:t xml:space="preserve">Doctorante au Warburg Institute (SAS, University of London</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au Warburg Institute, je suis spécialisée dans la réception de l'Antiquité gréco-romaine dans la pop culture, et plus particulièrement dans les jeux vidéo. Étudiant un corpus regroupant une centaine de jeux, se déroulant dans l'Antiquité ou n'en utilisant que certains symboles, j'étudie les tendances de représentations de l'Antiquité ainsi que l'origine et la signification de ces images dans ce média.</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Rohde</dc:title>
  <dc:description>CV</dc:description>
  <dc:subject/>
  <cp:keywords/>
  <cp:category/>
  <cp:lastModifiedBy/>
  <dcterms:created xsi:type="dcterms:W3CDTF">2026-04-12T18:23:02+02:00</dcterms:created>
  <dcterms:modified xsi:type="dcterms:W3CDTF">2026-04-12T18:23:02+02:00</dcterms:modified>
</cp:coreProperties>
</file>

<file path=docProps/custom.xml><?xml version="1.0" encoding="utf-8"?>
<Properties xmlns="http://schemas.openxmlformats.org/officeDocument/2006/custom-properties" xmlns:vt="http://schemas.openxmlformats.org/officeDocument/2006/docPropsVTypes"/>
</file>