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Jambort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Loi Attractivité : les actions de préférence à droits de vote multiples dans les sociétés cotées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A paraître</w:t>
            </w:r>
          </w:p>
          <w:p>
            <w:pPr/>
            <w:r>
              <w:rPr/>
              <w:t xml:space="preserve">Article dans une revue</w:t>
            </w:r>
          </w:p>
          <w:p>
            <w:pPr/>
            <w:hyperlink r:id="rId7" w:history="1">
              <w:r>
                <w:rPr>
                  <w:color w:val="#410a8c"/>
                  <w:u w:val="single"/>
                </w:rPr>
                <w:t xml:space="preserve">hal-04915675v1</w:t>
              </w:r>
            </w:hyperlink>
          </w:p>
        </w:tc>
      </w:tr>
      <w:tr>
        <w:trPr/>
        <w:tc>
          <w:tcPr>
            <w:noWrap/>
          </w:tcPr>
          <w:p>
            <w:pPr>
              <w:spacing w:after="200"/>
            </w:pPr>
            <w:hyperlink r:id="rId9" w:history="1">
              <w:r>
                <w:rPr>
                  <w:color w:val="1e198e"/>
                  <w:b w:val="1"/>
                  <w:bCs w:val="1"/>
                  <w:u w:val="single"/>
                </w:rPr>
                <w:t xml:space="preserve">L'article L. 267 du livre des procédures fiscales et le code des relations entre le public et l'administration</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2024, 02, pp.129</w:t>
            </w:r>
          </w:p>
          <w:p>
            <w:pPr/>
            <w:r>
              <w:rPr/>
              <w:t xml:space="preserve">Article dans une revue</w:t>
            </w:r>
          </w:p>
          <w:p>
            <w:pPr/>
            <w:hyperlink r:id="rId9" w:history="1">
              <w:r>
                <w:rPr>
                  <w:color w:val="#410a8c"/>
                  <w:u w:val="single"/>
                </w:rPr>
                <w:t xml:space="preserve">halshs-04429659v1</w:t>
              </w:r>
            </w:hyperlink>
          </w:p>
        </w:tc>
      </w:tr>
      <w:tr>
        <w:trPr/>
        <w:tc>
          <w:tcPr>
            <w:noWrap/>
          </w:tcPr>
          <w:p>
            <w:pPr>
              <w:spacing w:after="200"/>
            </w:pPr>
            <w:hyperlink r:id="rId10" w:history="1">
              <w:r>
                <w:rPr>
                  <w:color w:val="1e198e"/>
                  <w:b w:val="1"/>
                  <w:bCs w:val="1"/>
                  <w:u w:val="single"/>
                </w:rPr>
                <w:t xml:space="preserve">Les affres du cautionnement consenti par le président du directoire d’une société anonyme</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2024, 9, pp.16-18</w:t>
            </w:r>
          </w:p>
          <w:p>
            <w:pPr/>
            <w:r>
              <w:rPr/>
              <w:t xml:space="preserve">Article dans une revue</w:t>
            </w:r>
          </w:p>
          <w:p>
            <w:pPr/>
            <w:hyperlink r:id="rId10" w:history="1">
              <w:r>
                <w:rPr>
                  <w:color w:val="#410a8c"/>
                  <w:u w:val="single"/>
                </w:rPr>
                <w:t xml:space="preserve">hal-04914986v1</w:t>
              </w:r>
            </w:hyperlink>
          </w:p>
        </w:tc>
      </w:tr>
      <w:tr>
        <w:trPr/>
        <w:tc>
          <w:tcPr>
            <w:noWrap/>
          </w:tcPr>
          <w:p>
            <w:pPr>
              <w:spacing w:after="200"/>
            </w:pPr>
            <w:hyperlink r:id="rId11" w:history="1">
              <w:r>
                <w:rPr>
                  <w:color w:val="1e198e"/>
                  <w:b w:val="1"/>
                  <w:bCs w:val="1"/>
                  <w:u w:val="single"/>
                </w:rPr>
                <w:t xml:space="preserve">Revirement de jurisprudence en matière de société en formation</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2024, 9, pp.38-40</w:t>
            </w:r>
          </w:p>
          <w:p>
            <w:pPr/>
            <w:r>
              <w:rPr/>
              <w:t xml:space="preserve">Article dans une revue</w:t>
            </w:r>
          </w:p>
          <w:p>
            <w:pPr/>
            <w:hyperlink r:id="rId11" w:history="1">
              <w:r>
                <w:rPr>
                  <w:color w:val="#410a8c"/>
                  <w:u w:val="single"/>
                </w:rPr>
                <w:t xml:space="preserve">hal-04917992v1</w:t>
              </w:r>
            </w:hyperlink>
          </w:p>
        </w:tc>
      </w:tr>
      <w:tr>
        <w:trPr/>
        <w:tc>
          <w:tcPr>
            <w:noWrap/>
          </w:tcPr>
          <w:p>
            <w:pPr>
              <w:spacing w:after="200"/>
            </w:pPr>
            <w:hyperlink r:id="rId12" w:history="1">
              <w:r>
                <w:rPr>
                  <w:color w:val="1e198e"/>
                  <w:b w:val="1"/>
                  <w:bCs w:val="1"/>
                  <w:u w:val="single"/>
                </w:rPr>
                <w:t xml:space="preserve">Lettre de confort non autorisée et dol</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2023, 6, pp.27-29</w:t>
            </w:r>
          </w:p>
          <w:p>
            <w:pPr/>
            <w:r>
              <w:rPr/>
              <w:t xml:space="preserve">Article dans une revue</w:t>
            </w:r>
          </w:p>
          <w:p>
            <w:pPr/>
            <w:hyperlink r:id="rId12" w:history="1">
              <w:r>
                <w:rPr>
                  <w:color w:val="#410a8c"/>
                  <w:u w:val="single"/>
                </w:rPr>
                <w:t xml:space="preserve">hal-04915086v1</w:t>
              </w:r>
            </w:hyperlink>
          </w:p>
        </w:tc>
      </w:tr>
      <w:tr>
        <w:trPr/>
        <w:tc>
          <w:tcPr>
            <w:noWrap/>
          </w:tcPr>
          <w:p>
            <w:pPr>
              <w:spacing w:after="200"/>
            </w:pPr>
            <w:hyperlink r:id="rId13" w:history="1">
              <w:r>
                <w:rPr>
                  <w:color w:val="1e198e"/>
                  <w:b w:val="1"/>
                  <w:bCs w:val="1"/>
                  <w:u w:val="single"/>
                </w:rPr>
                <w:t xml:space="preserve">Défiscalisation : de l'erreur sur les motifs à l'erreur sur les qualités substantielles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2023, 02, pp.115</w:t>
            </w:r>
          </w:p>
          <w:p>
            <w:pPr/>
            <w:r>
              <w:rPr/>
              <w:t xml:space="preserve">Article dans une revue</w:t>
            </w:r>
          </w:p>
          <w:p>
            <w:pPr/>
            <w:hyperlink r:id="rId13" w:history="1">
              <w:r>
                <w:rPr>
                  <w:color w:val="#410a8c"/>
                  <w:u w:val="single"/>
                </w:rPr>
                <w:t xml:space="preserve">halshs-03964884v1</w:t>
              </w:r>
            </w:hyperlink>
          </w:p>
        </w:tc>
      </w:tr>
      <w:tr>
        <w:trPr/>
        <w:tc>
          <w:tcPr>
            <w:noWrap/>
          </w:tcPr>
          <w:p>
            <w:pPr>
              <w:spacing w:after="200"/>
            </w:pPr>
            <w:hyperlink r:id="rId14" w:history="1">
              <w:r>
                <w:rPr>
                  <w:color w:val="1e198e"/>
                  <w:b w:val="1"/>
                  <w:bCs w:val="1"/>
                  <w:u w:val="single"/>
                </w:rPr>
                <w:t xml:space="preserve">Ordonnance n° 2023-393 du 24 mai 2023 portant réforme du régime des fusions, scissions, apports partiels d'actifs et opérations transfrontalières des sociétés commerciales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2023, pp.25-28</w:t>
            </w:r>
          </w:p>
          <w:p>
            <w:pPr/>
            <w:r>
              <w:rPr/>
              <w:t xml:space="preserve">Article dans une revue</w:t>
            </w:r>
          </w:p>
          <w:p>
            <w:pPr/>
            <w:hyperlink r:id="rId14" w:history="1">
              <w:r>
                <w:rPr>
                  <w:color w:val="#410a8c"/>
                  <w:u w:val="single"/>
                </w:rPr>
                <w:t xml:space="preserve">hal-04903427v1</w:t>
              </w:r>
            </w:hyperlink>
          </w:p>
        </w:tc>
      </w:tr>
      <w:tr>
        <w:trPr/>
        <w:tc>
          <w:tcPr>
            <w:noWrap/>
          </w:tcPr>
          <w:p>
            <w:pPr>
              <w:spacing w:after="200"/>
            </w:pPr>
            <w:hyperlink r:id="rId15" w:history="1">
              <w:r>
                <w:rPr>
                  <w:color w:val="1e198e"/>
                  <w:b w:val="1"/>
                  <w:bCs w:val="1"/>
                  <w:u w:val="single"/>
                </w:rPr>
                <w:t xml:space="preserve">L’usufruit de droits sociaux dans tous ses états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2023, 3, pp.39-40</w:t>
            </w:r>
          </w:p>
          <w:p>
            <w:pPr/>
            <w:r>
              <w:rPr/>
              <w:t xml:space="preserve">Article dans une revue</w:t>
            </w:r>
          </w:p>
          <w:p>
            <w:pPr/>
            <w:hyperlink r:id="rId15" w:history="1">
              <w:r>
                <w:rPr>
                  <w:color w:val="#410a8c"/>
                  <w:u w:val="single"/>
                </w:rPr>
                <w:t xml:space="preserve">hal-04917961v1</w:t>
              </w:r>
            </w:hyperlink>
          </w:p>
        </w:tc>
      </w:tr>
      <w:tr>
        <w:trPr/>
        <w:tc>
          <w:tcPr>
            <w:noWrap/>
          </w:tcPr>
          <w:p>
            <w:pPr>
              <w:spacing w:after="200"/>
            </w:pPr>
            <w:hyperlink r:id="rId16" w:history="1">
              <w:r>
                <w:rPr>
                  <w:color w:val="1e198e"/>
                  <w:b w:val="1"/>
                  <w:bCs w:val="1"/>
                  <w:u w:val="single"/>
                </w:rPr>
                <w:t xml:space="preserve">L'exigence de précision dans les recours formés en application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2023, 06, pp.386</w:t>
            </w:r>
          </w:p>
          <w:p>
            <w:pPr/>
            <w:r>
              <w:rPr/>
              <w:t xml:space="preserve">Article dans une revue</w:t>
            </w:r>
          </w:p>
          <w:p>
            <w:pPr/>
            <w:hyperlink r:id="rId16" w:history="1">
              <w:r>
                <w:rPr>
                  <w:color w:val="#410a8c"/>
                  <w:u w:val="single"/>
                </w:rPr>
                <w:t xml:space="preserve">halshs-04118390v1</w:t>
              </w:r>
            </w:hyperlink>
          </w:p>
        </w:tc>
      </w:tr>
      <w:tr>
        <w:trPr/>
        <w:tc>
          <w:tcPr>
            <w:noWrap/>
          </w:tcPr>
          <w:p>
            <w:pPr>
              <w:spacing w:after="200"/>
            </w:pPr>
            <w:hyperlink r:id="rId17" w:history="1">
              <w:r>
                <w:rPr>
                  <w:color w:val="1e198e"/>
                  <w:b w:val="1"/>
                  <w:bCs w:val="1"/>
                  <w:u w:val="single"/>
                </w:rPr>
                <w:t xml:space="preserve">QPC : Perquisition fiscale et principe de l'inviolabilité du domicile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2023, 7 et 8, pp.448</w:t>
            </w:r>
          </w:p>
          <w:p>
            <w:pPr/>
            <w:r>
              <w:rPr/>
              <w:t xml:space="preserve">Article dans une revue</w:t>
            </w:r>
          </w:p>
          <w:p>
            <w:pPr/>
            <w:hyperlink r:id="rId17" w:history="1">
              <w:r>
                <w:rPr>
                  <w:color w:val="#410a8c"/>
                  <w:u w:val="single"/>
                </w:rPr>
                <w:t xml:space="preserve">halshs-04149988v1</w:t>
              </w:r>
            </w:hyperlink>
          </w:p>
        </w:tc>
      </w:tr>
      <w:tr>
        <w:trPr/>
        <w:tc>
          <w:tcPr>
            <w:noWrap/>
          </w:tcPr>
          <w:p>
            <w:pPr>
              <w:spacing w:after="200"/>
            </w:pPr>
            <w:hyperlink r:id="rId18" w:history="1">
              <w:r>
                <w:rPr>
                  <w:color w:val="1e198e"/>
                  <w:b w:val="1"/>
                  <w:bCs w:val="1"/>
                  <w:u w:val="single"/>
                </w:rPr>
                <w:t xml:space="preserve">Violation du principe de la contradiction par le juge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2022, 02, pp.110</w:t>
            </w:r>
          </w:p>
          <w:p>
            <w:pPr/>
            <w:r>
              <w:rPr/>
              <w:t xml:space="preserve">Article dans une revue</w:t>
            </w:r>
          </w:p>
          <w:p>
            <w:pPr/>
            <w:hyperlink r:id="rId18" w:history="1">
              <w:r>
                <w:rPr>
                  <w:color w:val="#410a8c"/>
                  <w:u w:val="single"/>
                </w:rPr>
                <w:t xml:space="preserve">halshs-03548100v1</w:t>
              </w:r>
            </w:hyperlink>
          </w:p>
        </w:tc>
      </w:tr>
      <w:tr>
        <w:trPr/>
        <w:tc>
          <w:tcPr>
            <w:noWrap/>
          </w:tcPr>
          <w:p>
            <w:pPr>
              <w:spacing w:after="200"/>
            </w:pPr>
            <w:hyperlink r:id="rId19" w:history="1">
              <w:r>
                <w:rPr>
                  <w:color w:val="1e198e"/>
                  <w:b w:val="1"/>
                  <w:bCs w:val="1"/>
                  <w:u w:val="single"/>
                </w:rPr>
                <w:t xml:space="preserve">L'article L. 267 du livre des procédures fiscales et l'impossibilité de recouvrement de la dette fiscale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2022, 11, pp.631</w:t>
            </w:r>
          </w:p>
          <w:p>
            <w:pPr/>
            <w:r>
              <w:rPr/>
              <w:t xml:space="preserve">Article dans une revue</w:t>
            </w:r>
          </w:p>
          <w:p>
            <w:pPr/>
            <w:hyperlink r:id="rId19" w:history="1">
              <w:r>
                <w:rPr>
                  <w:color w:val="#410a8c"/>
                  <w:u w:val="single"/>
                </w:rPr>
                <w:t xml:space="preserve">halshs-03832322v1</w:t>
              </w:r>
            </w:hyperlink>
          </w:p>
        </w:tc>
      </w:tr>
      <w:tr>
        <w:trPr/>
        <w:tc>
          <w:tcPr>
            <w:noWrap/>
          </w:tcPr>
          <w:p>
            <w:pPr>
              <w:spacing w:after="200"/>
            </w:pPr>
            <w:hyperlink r:id="rId20" w:history="1">
              <w:r>
                <w:rPr>
                  <w:color w:val="1e198e"/>
                  <w:b w:val="1"/>
                  <w:bCs w:val="1"/>
                  <w:u w:val="single"/>
                </w:rPr>
                <w:t xml:space="preserve">L'article L. 16 B du livre des procédures fiscales à l'épreuve de questions prioritaires de constitutionnalité</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2022, 05, pp.306</w:t>
            </w:r>
          </w:p>
          <w:p>
            <w:pPr/>
            <w:r>
              <w:rPr/>
              <w:t xml:space="preserve">Article dans une revue</w:t>
            </w:r>
          </w:p>
          <w:p>
            <w:pPr/>
            <w:hyperlink r:id="rId20" w:history="1">
              <w:r>
                <w:rPr>
                  <w:color w:val="#410a8c"/>
                  <w:u w:val="single"/>
                </w:rPr>
                <w:t xml:space="preserve">halshs-03655852v1</w:t>
              </w:r>
            </w:hyperlink>
          </w:p>
        </w:tc>
      </w:tr>
      <w:tr>
        <w:trPr/>
        <w:tc>
          <w:tcPr>
            <w:noWrap/>
          </w:tcPr>
          <w:p>
            <w:pPr>
              <w:spacing w:after="200"/>
            </w:pPr>
            <w:hyperlink r:id="rId21" w:history="1">
              <w:r>
                <w:rPr>
                  <w:color w:val="1e198e"/>
                  <w:b w:val="1"/>
                  <w:bCs w:val="1"/>
                  <w:u w:val="single"/>
                </w:rPr>
                <w:t xml:space="preserve">Absence de dissolution d’une EURL par le décès de son associé unique</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2022, pp.514-515</w:t>
            </w:r>
          </w:p>
          <w:p>
            <w:pPr/>
            <w:r>
              <w:rPr/>
              <w:t xml:space="preserve">Article dans une revue</w:t>
            </w:r>
          </w:p>
          <w:p>
            <w:pPr/>
            <w:hyperlink r:id="rId21" w:history="1">
              <w:r>
                <w:rPr>
                  <w:color w:val="#410a8c"/>
                  <w:u w:val="single"/>
                </w:rPr>
                <w:t xml:space="preserve">hal-04916413v1</w:t>
              </w:r>
            </w:hyperlink>
          </w:p>
        </w:tc>
      </w:tr>
      <w:tr>
        <w:trPr/>
        <w:tc>
          <w:tcPr>
            <w:noWrap/>
          </w:tcPr>
          <w:p>
            <w:pPr>
              <w:spacing w:after="200"/>
            </w:pPr>
            <w:hyperlink r:id="rId22" w:history="1">
              <w:r>
                <w:rPr>
                  <w:color w:val="1e198e"/>
                  <w:b w:val="1"/>
                  <w:bCs w:val="1"/>
                  <w:u w:val="single"/>
                </w:rPr>
                <w:t xml:space="preserve">L'apport en société du patrimoine professionnel</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2022, pp.276-283</w:t>
            </w:r>
          </w:p>
          <w:p>
            <w:pPr/>
            <w:r>
              <w:rPr/>
              <w:t xml:space="preserve">Article dans une revue</w:t>
            </w:r>
            <w:r>
              <w:rPr/>
              <w:t xml:space="preserve"> (article de synthèse)</w:t>
            </w:r>
          </w:p>
          <w:p>
            <w:pPr/>
            <w:hyperlink r:id="rId22" w:history="1">
              <w:r>
                <w:rPr>
                  <w:color w:val="#410a8c"/>
                  <w:u w:val="single"/>
                </w:rPr>
                <w:t xml:space="preserve">hal-04902469v1</w:t>
              </w:r>
            </w:hyperlink>
          </w:p>
        </w:tc>
      </w:tr>
      <w:tr>
        <w:trPr/>
        <w:tc>
          <w:tcPr>
            <w:noWrap/>
          </w:tcPr>
          <w:p>
            <w:pPr>
              <w:spacing w:after="200"/>
            </w:pPr>
            <w:hyperlink r:id="rId23" w:history="1">
              <w:r>
                <w:rPr>
                  <w:color w:val="1e198e"/>
                  <w:b w:val="1"/>
                  <w:bCs w:val="1"/>
                  <w:u w:val="single"/>
                </w:rPr>
                <w:t xml:space="preserve">Le droit des sociétés anonymes après la loi n° 2022-296 du 2 mars 2022 visant à démocratiser le sport en France</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2022, 4, pp.380-382</w:t>
            </w:r>
          </w:p>
          <w:p>
            <w:pPr/>
            <w:r>
              <w:rPr/>
              <w:t xml:space="preserve">Article dans une revue</w:t>
            </w:r>
          </w:p>
          <w:p>
            <w:pPr/>
            <w:hyperlink r:id="rId23" w:history="1">
              <w:r>
                <w:rPr>
                  <w:color w:val="#410a8c"/>
                  <w:u w:val="single"/>
                </w:rPr>
                <w:t xml:space="preserve">hal-04914743v1</w:t>
              </w:r>
            </w:hyperlink>
          </w:p>
        </w:tc>
      </w:tr>
      <w:tr>
        <w:trPr/>
        <w:tc>
          <w:tcPr>
            <w:noWrap/>
          </w:tcPr>
          <w:p>
            <w:pPr>
              <w:spacing w:after="200"/>
            </w:pPr>
            <w:hyperlink r:id="rId24" w:history="1">
              <w:r>
                <w:rPr>
                  <w:color w:val="1e198e"/>
                  <w:b w:val="1"/>
                  <w:bCs w:val="1"/>
                  <w:u w:val="single"/>
                </w:rPr>
                <w:t xml:space="preserve">Responsabilité pour insuffisance d’actif et interdiction de gérer</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2022, 11, pp.34-36</w:t>
            </w:r>
          </w:p>
          <w:p>
            <w:pPr/>
            <w:r>
              <w:rPr/>
              <w:t xml:space="preserve">Article dans une revue</w:t>
            </w:r>
          </w:p>
          <w:p>
            <w:pPr/>
            <w:hyperlink r:id="rId24" w:history="1">
              <w:r>
                <w:rPr>
                  <w:color w:val="#410a8c"/>
                  <w:u w:val="single"/>
                </w:rPr>
                <w:t xml:space="preserve">hal-04917380v1</w:t>
              </w:r>
            </w:hyperlink>
          </w:p>
        </w:tc>
      </w:tr>
      <w:tr>
        <w:trPr/>
        <w:tc>
          <w:tcPr>
            <w:noWrap/>
          </w:tcPr>
          <w:p>
            <w:pPr>
              <w:spacing w:after="200"/>
            </w:pPr>
            <w:hyperlink r:id="rId25" w:history="1">
              <w:r>
                <w:rPr>
                  <w:color w:val="1e198e"/>
                  <w:b w:val="1"/>
                  <w:bCs w:val="1"/>
                  <w:u w:val="single"/>
                </w:rPr>
                <w:t xml:space="preserve">Responsabilité pour insuffisance d’actif et direction de fait</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2022, 7-8, pp.42-43</w:t>
            </w:r>
          </w:p>
          <w:p>
            <w:pPr/>
            <w:r>
              <w:rPr/>
              <w:t xml:space="preserve">Article dans une revue</w:t>
            </w:r>
          </w:p>
          <w:p>
            <w:pPr/>
            <w:hyperlink r:id="rId25" w:history="1">
              <w:r>
                <w:rPr>
                  <w:color w:val="#410a8c"/>
                  <w:u w:val="single"/>
                </w:rPr>
                <w:t xml:space="preserve">hal-04917451v1</w:t>
              </w:r>
            </w:hyperlink>
          </w:p>
        </w:tc>
      </w:tr>
      <w:tr>
        <w:trPr/>
        <w:tc>
          <w:tcPr>
            <w:noWrap/>
          </w:tcPr>
          <w:p>
            <w:pPr>
              <w:spacing w:after="200"/>
            </w:pPr>
            <w:hyperlink r:id="rId26" w:history="1">
              <w:r>
                <w:rPr>
                  <w:color w:val="1e198e"/>
                  <w:b w:val="1"/>
                  <w:bCs w:val="1"/>
                  <w:u w:val="single"/>
                </w:rPr>
                <w:t xml:space="preserve">Loi Climat et résilience : aspects de droit des sociétés. Commentaire de la loi n° 2021-1104 du 22 août 2021 portant lutte contre le dérèglement climatique et renforcement de la résilience face à ses effets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2021, 6, pp.454-456</w:t>
            </w:r>
          </w:p>
          <w:p>
            <w:pPr/>
            <w:r>
              <w:rPr/>
              <w:t xml:space="preserve">Article dans une revue</w:t>
            </w:r>
          </w:p>
          <w:p>
            <w:pPr/>
            <w:hyperlink r:id="rId26" w:history="1">
              <w:r>
                <w:rPr>
                  <w:color w:val="#410a8c"/>
                  <w:u w:val="single"/>
                </w:rPr>
                <w:t xml:space="preserve">hal-04914820v1</w:t>
              </w:r>
            </w:hyperlink>
          </w:p>
        </w:tc>
      </w:tr>
      <w:tr>
        <w:trPr/>
        <w:tc>
          <w:tcPr>
            <w:noWrap/>
          </w:tcPr>
          <w:p>
            <w:pPr>
              <w:spacing w:after="200"/>
            </w:pPr>
            <w:hyperlink r:id="rId27" w:history="1">
              <w:r>
                <w:rPr>
                  <w:color w:val="1e198e"/>
                  <w:b w:val="1"/>
                  <w:bCs w:val="1"/>
                  <w:u w:val="single"/>
                </w:rPr>
                <w:t xml:space="preserve">Une lettre de confort non autorisée</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2021, 07-08, pp.15-17</w:t>
            </w:r>
          </w:p>
          <w:p>
            <w:pPr/>
            <w:r>
              <w:rPr/>
              <w:t xml:space="preserve">Article dans une revue</w:t>
            </w:r>
          </w:p>
          <w:p>
            <w:pPr/>
            <w:hyperlink r:id="rId27" w:history="1">
              <w:r>
                <w:rPr>
                  <w:color w:val="#410a8c"/>
                  <w:u w:val="single"/>
                </w:rPr>
                <w:t xml:space="preserve">hal-04917982v1</w:t>
              </w:r>
            </w:hyperlink>
          </w:p>
        </w:tc>
      </w:tr>
      <w:tr>
        <w:trPr/>
        <w:tc>
          <w:tcPr>
            <w:noWrap/>
          </w:tcPr>
          <w:p>
            <w:pPr>
              <w:spacing w:after="200"/>
            </w:pPr>
            <w:hyperlink r:id="rId28" w:history="1">
              <w:r>
                <w:rPr>
                  <w:color w:val="1e198e"/>
                  <w:b w:val="1"/>
                  <w:bCs w:val="1"/>
                  <w:u w:val="single"/>
                </w:rPr>
                <w:t xml:space="preserve">L'article L. 267 du livre des procédures fiscales et l'élément intentionnel</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2021, 03, pp.196</w:t>
            </w:r>
          </w:p>
          <w:p>
            <w:pPr/>
            <w:r>
              <w:rPr/>
              <w:t xml:space="preserve">Article dans une revue</w:t>
            </w:r>
          </w:p>
          <w:p>
            <w:pPr/>
            <w:hyperlink r:id="rId28" w:history="1">
              <w:r>
                <w:rPr>
                  <w:color w:val="#410a8c"/>
                  <w:u w:val="single"/>
                </w:rPr>
                <w:t xml:space="preserve">halshs-03151831v1</w:t>
              </w:r>
            </w:hyperlink>
          </w:p>
        </w:tc>
      </w:tr>
      <w:tr>
        <w:trPr/>
        <w:tc>
          <w:tcPr>
            <w:noWrap/>
          </w:tcPr>
          <w:p>
            <w:pPr>
              <w:spacing w:after="200"/>
            </w:pPr>
            <w:hyperlink r:id="rId29" w:history="1">
              <w:r>
                <w:rPr>
                  <w:color w:val="1e198e"/>
                  <w:b w:val="1"/>
                  <w:bCs w:val="1"/>
                  <w:u w:val="single"/>
                </w:rPr>
                <w:t xml:space="preserve">Perquisition fiscale et secret fiscal</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2021, 10, pp.604</w:t>
            </w:r>
          </w:p>
          <w:p>
            <w:pPr/>
            <w:r>
              <w:rPr/>
              <w:t xml:space="preserve">Article dans une revue</w:t>
            </w:r>
          </w:p>
          <w:p>
            <w:pPr/>
            <w:hyperlink r:id="rId29" w:history="1">
              <w:r>
                <w:rPr>
                  <w:color w:val="#410a8c"/>
                  <w:u w:val="single"/>
                </w:rPr>
                <w:t xml:space="preserve">halshs-03371370v1</w:t>
              </w:r>
            </w:hyperlink>
          </w:p>
        </w:tc>
      </w:tr>
      <w:tr>
        <w:trPr/>
        <w:tc>
          <w:tcPr>
            <w:noWrap/>
          </w:tcPr>
          <w:p>
            <w:pPr>
              <w:spacing w:after="200"/>
            </w:pPr>
            <w:hyperlink r:id="rId30" w:history="1">
              <w:r>
                <w:rPr>
                  <w:color w:val="1e198e"/>
                  <w:b w:val="1"/>
                  <w:bCs w:val="1"/>
                  <w:u w:val="single"/>
                </w:rPr>
                <w:t xml:space="preserve">Ordonnance n° 2020-1142 du 16 septembre 2020 portant création, au sein du code de commerce, d'un chapitre relatif aux sociétés dont les titres sont admis aux négociations sur un marché réglementé ou sur un système multilatéral de négociation</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2021, 3, pp.242-243</w:t>
            </w:r>
          </w:p>
          <w:p>
            <w:pPr/>
            <w:r>
              <w:rPr/>
              <w:t xml:space="preserve">Article dans une revue</w:t>
            </w:r>
          </w:p>
          <w:p>
            <w:pPr/>
            <w:hyperlink r:id="rId30" w:history="1">
              <w:r>
                <w:rPr>
                  <w:color w:val="#410a8c"/>
                  <w:u w:val="single"/>
                </w:rPr>
                <w:t xml:space="preserve">hal-04915656v1</w:t>
              </w:r>
            </w:hyperlink>
          </w:p>
        </w:tc>
      </w:tr>
      <w:tr>
        <w:trPr/>
        <w:tc>
          <w:tcPr>
            <w:noWrap/>
          </w:tcPr>
          <w:p>
            <w:pPr>
              <w:spacing w:after="200"/>
            </w:pPr>
            <w:hyperlink r:id="rId31" w:history="1">
              <w:r>
                <w:rPr>
                  <w:color w:val="1e198e"/>
                  <w:b w:val="1"/>
                  <w:bCs w:val="1"/>
                  <w:u w:val="single"/>
                </w:rPr>
                <w:t xml:space="preserve">Ordonnance n° 2020-1497 du 2 décembre 2020 portant prorogation et modification de l'ordonnance n° 2020-321 du 25 mars 2020 portant adaptation des règles de réunion et de délibération des assemblées et organes dirigeants des personnes morales et entités dépourvues de personnalité morale de droit privé en raison de l'épidémie de covid-19</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2021, 3, pp.243-245</w:t>
            </w:r>
          </w:p>
          <w:p>
            <w:pPr/>
            <w:r>
              <w:rPr/>
              <w:t xml:space="preserve">Article dans une revue</w:t>
            </w:r>
          </w:p>
          <w:p>
            <w:pPr/>
            <w:hyperlink r:id="rId31" w:history="1">
              <w:r>
                <w:rPr>
                  <w:color w:val="#410a8c"/>
                  <w:u w:val="single"/>
                </w:rPr>
                <w:t xml:space="preserve">hal-04915652v1</w:t>
              </w:r>
            </w:hyperlink>
          </w:p>
        </w:tc>
      </w:tr>
      <w:tr>
        <w:trPr/>
        <w:tc>
          <w:tcPr>
            <w:noWrap/>
          </w:tcPr>
          <w:p>
            <w:pPr>
              <w:spacing w:after="200"/>
            </w:pPr>
            <w:hyperlink r:id="rId32" w:history="1">
              <w:r>
                <w:rPr>
                  <w:color w:val="1e198e"/>
                  <w:b w:val="1"/>
                  <w:bCs w:val="1"/>
                  <w:u w:val="single"/>
                </w:rPr>
                <w:t xml:space="preserve">L'appréciation in concreto des conditions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03, pp.184</w:t>
            </w:r>
          </w:p>
          <w:p>
            <w:pPr/>
            <w:r>
              <w:rPr/>
              <w:t xml:space="preserve">Article dans une revue</w:t>
            </w:r>
          </w:p>
          <w:p>
            <w:pPr/>
            <w:hyperlink r:id="rId32" w:history="1">
              <w:r>
                <w:rPr>
                  <w:color w:val="#410a8c"/>
                  <w:u w:val="single"/>
                </w:rPr>
                <w:t xml:space="preserve">halshs-02491709v1</w:t>
              </w:r>
            </w:hyperlink>
          </w:p>
        </w:tc>
      </w:tr>
      <w:tr>
        <w:trPr/>
        <w:tc>
          <w:tcPr>
            <w:noWrap/>
          </w:tcPr>
          <w:p>
            <w:pPr>
              <w:spacing w:after="200"/>
            </w:pPr>
            <w:hyperlink r:id="rId33" w:history="1">
              <w:r>
                <w:rPr>
                  <w:color w:val="1e198e"/>
                  <w:b w:val="1"/>
                  <w:bCs w:val="1"/>
                  <w:u w:val="single"/>
                </w:rPr>
                <w:t xml:space="preserve">Prorogation de l'ordonnance n° 2020-321 du 25 mars 2020 portant adaptation des règles de réunion et de délibération des assemblées et organes dirigeants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2020, 6, pp.468</w:t>
            </w:r>
          </w:p>
          <w:p>
            <w:pPr/>
            <w:r>
              <w:rPr/>
              <w:t xml:space="preserve">Article dans une revue</w:t>
            </w:r>
          </w:p>
          <w:p>
            <w:pPr/>
            <w:hyperlink r:id="rId33" w:history="1">
              <w:r>
                <w:rPr>
                  <w:color w:val="#410a8c"/>
                  <w:u w:val="single"/>
                </w:rPr>
                <w:t xml:space="preserve">hal-04915666v1</w:t>
              </w:r>
            </w:hyperlink>
          </w:p>
        </w:tc>
      </w:tr>
      <w:tr>
        <w:trPr/>
        <w:tc>
          <w:tcPr>
            <w:noWrap/>
          </w:tcPr>
          <w:p>
            <w:pPr>
              <w:spacing w:after="200"/>
            </w:pPr>
            <w:hyperlink r:id="rId34" w:history="1">
              <w:r>
                <w:rPr>
                  <w:color w:val="1e198e"/>
                  <w:b w:val="1"/>
                  <w:bCs w:val="1"/>
                  <w:u w:val="single"/>
                </w:rPr>
                <w:t xml:space="preserve">Précisions sur l'application de l'article L. 267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01, pp.51</w:t>
            </w:r>
          </w:p>
          <w:p>
            <w:pPr/>
            <w:r>
              <w:rPr/>
              <w:t xml:space="preserve">Article dans une revue</w:t>
            </w:r>
          </w:p>
          <w:p>
            <w:pPr/>
            <w:hyperlink r:id="rId34" w:history="1">
              <w:r>
                <w:rPr>
                  <w:color w:val="#410a8c"/>
                  <w:u w:val="single"/>
                </w:rPr>
                <w:t xml:space="preserve">halshs-02487942v1</w:t>
              </w:r>
            </w:hyperlink>
          </w:p>
        </w:tc>
      </w:tr>
      <w:tr>
        <w:trPr/>
        <w:tc>
          <w:tcPr>
            <w:noWrap/>
          </w:tcPr>
          <w:p>
            <w:pPr>
              <w:spacing w:after="200"/>
            </w:pPr>
            <w:hyperlink r:id="rId35" w:history="1">
              <w:r>
                <w:rPr>
                  <w:color w:val="1e198e"/>
                  <w:b w:val="1"/>
                  <w:bCs w:val="1"/>
                  <w:u w:val="single"/>
                </w:rPr>
                <w:t xml:space="preserve">L'audition du contribuable lors de la perquisition fiscale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10, pp.573</w:t>
            </w:r>
          </w:p>
          <w:p>
            <w:pPr/>
            <w:r>
              <w:rPr/>
              <w:t xml:space="preserve">Article dans une revue</w:t>
            </w:r>
          </w:p>
          <w:p>
            <w:pPr/>
            <w:hyperlink r:id="rId35" w:history="1">
              <w:r>
                <w:rPr>
                  <w:color w:val="#410a8c"/>
                  <w:u w:val="single"/>
                </w:rPr>
                <w:t xml:space="preserve">halshs-02956152v1</w:t>
              </w:r>
            </w:hyperlink>
          </w:p>
        </w:tc>
      </w:tr>
      <w:tr>
        <w:trPr/>
        <w:tc>
          <w:tcPr>
            <w:noWrap/>
          </w:tcPr>
          <w:p>
            <w:pPr>
              <w:spacing w:after="200"/>
            </w:pPr>
            <w:hyperlink r:id="rId36" w:history="1">
              <w:r>
                <w:rPr>
                  <w:color w:val="1e198e"/>
                  <w:b w:val="1"/>
                  <w:bCs w:val="1"/>
                  <w:u w:val="single"/>
                </w:rPr>
                <w:t xml:space="preserve">Du bon usage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11, pp.636</w:t>
            </w:r>
          </w:p>
          <w:p>
            <w:pPr/>
            <w:r>
              <w:rPr/>
              <w:t xml:space="preserve">Article dans une revue</w:t>
            </w:r>
          </w:p>
          <w:p>
            <w:pPr/>
            <w:hyperlink r:id="rId36" w:history="1">
              <w:r>
                <w:rPr>
                  <w:color w:val="#410a8c"/>
                  <w:u w:val="single"/>
                </w:rPr>
                <w:t xml:space="preserve">halshs-02983519v1</w:t>
              </w:r>
            </w:hyperlink>
          </w:p>
        </w:tc>
      </w:tr>
      <w:tr>
        <w:trPr/>
        <w:tc>
          <w:tcPr>
            <w:noWrap/>
          </w:tcPr>
          <w:p>
            <w:pPr>
              <w:spacing w:after="200"/>
            </w:pPr>
            <w:hyperlink r:id="rId37" w:history="1">
              <w:r>
                <w:rPr>
                  <w:color w:val="1e198e"/>
                  <w:b w:val="1"/>
                  <w:bCs w:val="1"/>
                  <w:u w:val="single"/>
                </w:rPr>
                <w:t xml:space="preserve">Commentaire de l'Ordonnance n°2020-321 du 25 mars 2020 portant adaptation des règles de réunion et de délibération des assemblées et organes dirigeants des personnes morales et entités dépourvues de personnalité morale de droit privé en raison de l'épidémie de covid-19</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2020, 3, pp.195-199</w:t>
            </w:r>
          </w:p>
          <w:p>
            <w:pPr/>
            <w:r>
              <w:rPr/>
              <w:t xml:space="preserve">Article dans une revue</w:t>
            </w:r>
          </w:p>
          <w:p>
            <w:pPr/>
            <w:hyperlink r:id="rId37" w:history="1">
              <w:r>
                <w:rPr>
                  <w:color w:val="#410a8c"/>
                  <w:u w:val="single"/>
                </w:rPr>
                <w:t xml:space="preserve">hal-04915659v1</w:t>
              </w:r>
            </w:hyperlink>
          </w:p>
        </w:tc>
      </w:tr>
      <w:tr>
        <w:trPr/>
        <w:tc>
          <w:tcPr>
            <w:noWrap/>
          </w:tcPr>
          <w:p>
            <w:pPr>
              <w:spacing w:after="200"/>
            </w:pPr>
            <w:hyperlink r:id="rId38" w:history="1">
              <w:r>
                <w:rPr>
                  <w:color w:val="1e198e"/>
                  <w:b w:val="1"/>
                  <w:bCs w:val="1"/>
                  <w:u w:val="single"/>
                </w:rPr>
                <w:t xml:space="preserve">Dépôt des comptes d'une SASU versus vie privée de l'associé</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2020, 6, pp.473-474</w:t>
            </w:r>
          </w:p>
          <w:p>
            <w:pPr/>
            <w:r>
              <w:rPr/>
              <w:t xml:space="preserve">Article dans une revue</w:t>
            </w:r>
          </w:p>
          <w:p>
            <w:pPr/>
            <w:hyperlink r:id="rId38" w:history="1">
              <w:r>
                <w:rPr>
                  <w:color w:val="#410a8c"/>
                  <w:u w:val="single"/>
                </w:rPr>
                <w:t xml:space="preserve">hal-04917970v1</w:t>
              </w:r>
            </w:hyperlink>
          </w:p>
        </w:tc>
      </w:tr>
      <w:tr>
        <w:trPr/>
        <w:tc>
          <w:tcPr>
            <w:noWrap/>
          </w:tcPr>
          <w:p>
            <w:pPr>
              <w:spacing w:after="200"/>
            </w:pPr>
            <w:hyperlink r:id="rId39" w:history="1">
              <w:r>
                <w:rPr>
                  <w:color w:val="1e198e"/>
                  <w:b w:val="1"/>
                  <w:bCs w:val="1"/>
                  <w:u w:val="single"/>
                </w:rPr>
                <w:t xml:space="preserve">L'incidence des systèmes de conduite automatiques sur les responsabilités civiles et pénales</w:t>
              </w:r>
            </w:hyperlink>
          </w:p>
          <w:p>
            <w:pPr/>
            <w:hyperlink r:id="rId40" w:history="1">
              <w:r>
                <w:rPr>
                  <w:color w:val="#410a8c"/>
                  <w:u w:val="single"/>
                </w:rPr>
                <w:t xml:space="preserve">Teresi Laurent</w:t>
              </w:r>
            </w:hyperlink>
            <w:r>
              <w:rPr/>
              <w:t xml:space="preserve">,</w:t>
            </w:r>
            <w:hyperlink r:id="rId41" w:history="1">
              <w:r>
                <w:rPr>
                  <w:color w:val="#410a8c"/>
                  <w:u w:val="single"/>
                </w:rPr>
                <w:t xml:space="preserve">Marie-Andrée Rakotovahiny</w:t>
              </w:r>
            </w:hyperlink>
            <w:r>
              <w:rPr/>
              <w:t xml:space="preserve">,</w:t>
            </w:r>
            <w:hyperlink r:id="rId42" w:history="1">
              <w:r>
                <w:rPr>
                  <w:color w:val="#410a8c"/>
                  <w:u w:val="single"/>
                </w:rPr>
                <w:t xml:space="preserve">Sebastien Jambort</w:t>
              </w:r>
            </w:hyperlink>
          </w:p>
          <w:p>
            <w:pPr/>
            <w:r>
              <w:rPr>
                <w:i w:val="1"/>
                <w:iCs w:val="1"/>
              </w:rPr>
              <w:t xml:space="preserve">La Semaine juridique. Édition générale</w:t>
            </w:r>
            <w:r>
              <w:rPr/>
              <w:t xml:space="preserve">, 2019, 4</w:t>
            </w:r>
          </w:p>
          <w:p>
            <w:pPr/>
            <w:r>
              <w:rPr/>
              <w:t xml:space="preserve">Article dans une revue</w:t>
            </w:r>
          </w:p>
          <w:p>
            <w:pPr/>
            <w:hyperlink r:id="rId39" w:history="1">
              <w:r>
                <w:rPr>
                  <w:color w:val="#410a8c"/>
                  <w:u w:val="single"/>
                </w:rPr>
                <w:t xml:space="preserve">hal-02071841v1</w:t>
              </w:r>
            </w:hyperlink>
          </w:p>
        </w:tc>
      </w:tr>
      <w:tr>
        <w:trPr/>
        <w:tc>
          <w:tcPr>
            <w:noWrap/>
          </w:tcPr>
          <w:p>
            <w:pPr>
              <w:spacing w:after="200"/>
            </w:pPr>
            <w:hyperlink r:id="rId43" w:history="1">
              <w:r>
                <w:rPr>
                  <w:color w:val="1e198e"/>
                  <w:b w:val="1"/>
                  <w:bCs w:val="1"/>
                  <w:u w:val="single"/>
                </w:rPr>
                <w:t xml:space="preserve">Perquisition fiscale : droit des contribuables à l'assistance d'un conseil</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2019, 11, pp.698</w:t>
            </w:r>
          </w:p>
          <w:p>
            <w:pPr/>
            <w:r>
              <w:rPr/>
              <w:t xml:space="preserve">Article dans une revue</w:t>
            </w:r>
          </w:p>
          <w:p>
            <w:pPr/>
            <w:hyperlink r:id="rId43" w:history="1">
              <w:r>
                <w:rPr>
                  <w:color w:val="#410a8c"/>
                  <w:u w:val="single"/>
                </w:rPr>
                <w:t xml:space="preserve">halshs-02451801v1</w:t>
              </w:r>
            </w:hyperlink>
          </w:p>
        </w:tc>
      </w:tr>
      <w:tr>
        <w:trPr/>
        <w:tc>
          <w:tcPr>
            <w:noWrap/>
          </w:tcPr>
          <w:p>
            <w:pPr>
              <w:spacing w:after="200"/>
            </w:pPr>
            <w:hyperlink r:id="rId44" w:history="1">
              <w:r>
                <w:rPr>
                  <w:color w:val="1e198e"/>
                  <w:b w:val="1"/>
                  <w:bCs w:val="1"/>
                  <w:u w:val="single"/>
                </w:rPr>
                <w:t xml:space="preserve">Droits sociaux démembrés : droit de participation aux décisions collectives et répartition du droit de vote</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2019, 6, pp.503-504</w:t>
            </w:r>
          </w:p>
          <w:p>
            <w:pPr/>
            <w:r>
              <w:rPr/>
              <w:t xml:space="preserve">Article dans une revue</w:t>
            </w:r>
          </w:p>
          <w:p>
            <w:pPr/>
            <w:hyperlink r:id="rId44" w:history="1">
              <w:r>
                <w:rPr>
                  <w:color w:val="#410a8c"/>
                  <w:u w:val="single"/>
                </w:rPr>
                <w:t xml:space="preserve">hal-04915668v1</w:t>
              </w:r>
            </w:hyperlink>
          </w:p>
        </w:tc>
      </w:tr>
      <w:tr>
        <w:trPr/>
        <w:tc>
          <w:tcPr>
            <w:noWrap/>
          </w:tcPr>
          <w:p>
            <w:pPr>
              <w:spacing w:after="200"/>
            </w:pPr>
            <w:hyperlink r:id="rId45" w:history="1">
              <w:r>
                <w:rPr>
                  <w:color w:val="1e198e"/>
                  <w:b w:val="1"/>
                  <w:bCs w:val="1"/>
                  <w:u w:val="single"/>
                </w:rPr>
                <w:t xml:space="preserve">L'encadrement juridique de l'expérimentation des véhicules à délégation de conduite par la loi «PACTE»</w:t>
              </w:r>
            </w:hyperlink>
          </w:p>
          <w:p>
            <w:pPr/>
            <w:hyperlink r:id="rId8" w:history="1">
              <w:r>
                <w:rPr>
                  <w:color w:val="#410a8c"/>
                  <w:u w:val="single"/>
                </w:rPr>
                <w:t xml:space="preserve">Sébastien Jambort</w:t>
              </w:r>
            </w:hyperlink>
          </w:p>
          <w:p>
            <w:pPr/>
            <w:r>
              <w:rPr>
                <w:i w:val="1"/>
                <w:iCs w:val="1"/>
              </w:rPr>
              <w:t xml:space="preserve">Lexbase affaires</w:t>
            </w:r>
            <w:r>
              <w:rPr/>
              <w:t xml:space="preserve">, 2019, 597</w:t>
            </w:r>
          </w:p>
          <w:p>
            <w:pPr/>
            <w:r>
              <w:rPr/>
              <w:t xml:space="preserve">Article dans une revue</w:t>
            </w:r>
          </w:p>
          <w:p>
            <w:pPr/>
            <w:hyperlink r:id="rId45" w:history="1">
              <w:r>
                <w:rPr>
                  <w:color w:val="#410a8c"/>
                  <w:u w:val="single"/>
                </w:rPr>
                <w:t xml:space="preserve">hal-04914624v1</w:t>
              </w:r>
            </w:hyperlink>
          </w:p>
        </w:tc>
      </w:tr>
      <w:tr>
        <w:trPr/>
        <w:tc>
          <w:tcPr>
            <w:noWrap/>
          </w:tcPr>
          <w:p>
            <w:pPr>
              <w:spacing w:after="200"/>
            </w:pPr>
            <w:hyperlink r:id="rId46" w:history="1">
              <w:r>
                <w:rPr>
                  <w:color w:val="1e198e"/>
                  <w:b w:val="1"/>
                  <w:bCs w:val="1"/>
                  <w:u w:val="single"/>
                </w:rPr>
                <w:t xml:space="preserve">La raison d'être des sociétés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2019, pp.485-488</w:t>
            </w:r>
          </w:p>
          <w:p>
            <w:pPr/>
            <w:r>
              <w:rPr/>
              <w:t xml:space="preserve">Article dans une revue</w:t>
            </w:r>
          </w:p>
          <w:p>
            <w:pPr/>
            <w:hyperlink r:id="rId46" w:history="1">
              <w:r>
                <w:rPr>
                  <w:color w:val="#410a8c"/>
                  <w:u w:val="single"/>
                </w:rPr>
                <w:t xml:space="preserve">hal-04914562v1</w:t>
              </w:r>
            </w:hyperlink>
          </w:p>
        </w:tc>
      </w:tr>
      <w:tr>
        <w:trPr/>
        <w:tc>
          <w:tcPr>
            <w:noWrap/>
          </w:tcPr>
          <w:p>
            <w:pPr>
              <w:spacing w:after="200"/>
            </w:pPr>
            <w:hyperlink r:id="rId47" w:history="1">
              <w:r>
                <w:rPr>
                  <w:color w:val="1e198e"/>
                  <w:b w:val="1"/>
                  <w:bCs w:val="1"/>
                  <w:u w:val="single"/>
                </w:rPr>
                <w:t xml:space="preserve">De la dénonciation anonyme à la perquisition fiscale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2019, 05, pp.345</w:t>
            </w:r>
          </w:p>
          <w:p>
            <w:pPr/>
            <w:r>
              <w:rPr/>
              <w:t xml:space="preserve">Article dans une revue</w:t>
            </w:r>
          </w:p>
          <w:p>
            <w:pPr/>
            <w:hyperlink r:id="rId47" w:history="1">
              <w:r>
                <w:rPr>
                  <w:color w:val="#410a8c"/>
                  <w:u w:val="single"/>
                </w:rPr>
                <w:t xml:space="preserve">halshs-02451741v1</w:t>
              </w:r>
            </w:hyperlink>
          </w:p>
        </w:tc>
      </w:tr>
      <w:tr>
        <w:trPr/>
        <w:tc>
          <w:tcPr>
            <w:noWrap/>
          </w:tcPr>
          <w:p>
            <w:pPr>
              <w:spacing w:after="200"/>
            </w:pPr>
            <w:hyperlink r:id="rId48" w:history="1">
              <w:r>
                <w:rPr>
                  <w:color w:val="1e198e"/>
                  <w:b w:val="1"/>
                  <w:bCs w:val="1"/>
                  <w:u w:val="single"/>
                </w:rPr>
                <w:t xml:space="preserve">Partage de sociétés : définition de l'assiette du droit de partage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2019, 07 et 08, pp.478</w:t>
            </w:r>
          </w:p>
          <w:p>
            <w:pPr/>
            <w:r>
              <w:rPr/>
              <w:t xml:space="preserve">Article dans une revue</w:t>
            </w:r>
          </w:p>
          <w:p>
            <w:pPr/>
            <w:hyperlink r:id="rId48" w:history="1">
              <w:r>
                <w:rPr>
                  <w:color w:val="#410a8c"/>
                  <w:u w:val="single"/>
                </w:rPr>
                <w:t xml:space="preserve">halshs-02451762v1</w:t>
              </w:r>
            </w:hyperlink>
          </w:p>
        </w:tc>
      </w:tr>
      <w:tr>
        <w:trPr/>
        <w:tc>
          <w:tcPr>
            <w:noWrap/>
          </w:tcPr>
          <w:p>
            <w:pPr>
              <w:spacing w:after="200"/>
            </w:pPr>
            <w:hyperlink r:id="rId49" w:history="1">
              <w:r>
                <w:rPr>
                  <w:color w:val="1e198e"/>
                  <w:b w:val="1"/>
                  <w:bCs w:val="1"/>
                  <w:u w:val="single"/>
                </w:rPr>
                <w:t xml:space="preserve">Faculté de déterminer le prix de cession de droits sociaux par un tiers estimateur subsidiaire en vertu de l'article 1592 du code civil</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2019, 6, pp.506</w:t>
            </w:r>
          </w:p>
          <w:p>
            <w:pPr/>
            <w:r>
              <w:rPr/>
              <w:t xml:space="preserve">Article dans une revue</w:t>
            </w:r>
          </w:p>
          <w:p>
            <w:pPr/>
            <w:hyperlink r:id="rId49" w:history="1">
              <w:r>
                <w:rPr>
                  <w:color w:val="#410a8c"/>
                  <w:u w:val="single"/>
                </w:rPr>
                <w:t xml:space="preserve">hal-04915671v1</w:t>
              </w:r>
            </w:hyperlink>
          </w:p>
        </w:tc>
      </w:tr>
      <w:tr>
        <w:trPr/>
        <w:tc>
          <w:tcPr>
            <w:noWrap/>
          </w:tcPr>
          <w:p>
            <w:pPr>
              <w:spacing w:after="200"/>
            </w:pPr>
            <w:hyperlink r:id="rId50" w:history="1">
              <w:r>
                <w:rPr>
                  <w:color w:val="1e198e"/>
                  <w:b w:val="1"/>
                  <w:bCs w:val="1"/>
                  <w:u w:val="single"/>
                </w:rPr>
                <w:t xml:space="preserve">A la recherche de la capacité des personnes morales</w:t>
              </w:r>
            </w:hyperlink>
          </w:p>
          <w:p>
            <w:pPr/>
            <w:hyperlink r:id="rId8" w:history="1">
              <w:r>
                <w:rPr>
                  <w:color w:val="#410a8c"/>
                  <w:u w:val="single"/>
                </w:rPr>
                <w:t xml:space="preserve">Sébastien Jambort</w:t>
              </w:r>
            </w:hyperlink>
          </w:p>
          <w:p>
            <w:pPr/>
            <w:r>
              <w:rPr>
                <w:i w:val="1"/>
                <w:iCs w:val="1"/>
              </w:rPr>
              <w:t xml:space="preserve">Journal des sociétés : mensuel du juriste et de l'entreprise</w:t>
            </w:r>
            <w:r>
              <w:rPr/>
              <w:t xml:space="preserve">, 2019, 172, p. 29</w:t>
            </w:r>
          </w:p>
          <w:p>
            <w:pPr/>
            <w:r>
              <w:rPr/>
              <w:t xml:space="preserve">Article dans une revue</w:t>
            </w:r>
          </w:p>
          <w:p>
            <w:pPr/>
            <w:hyperlink r:id="rId50" w:history="1">
              <w:r>
                <w:rPr>
                  <w:color w:val="#410a8c"/>
                  <w:u w:val="single"/>
                </w:rPr>
                <w:t xml:space="preserve">hal-03621590v1</w:t>
              </w:r>
            </w:hyperlink>
          </w:p>
        </w:tc>
      </w:tr>
      <w:tr>
        <w:trPr/>
        <w:tc>
          <w:tcPr>
            <w:noWrap/>
          </w:tcPr>
          <w:p>
            <w:pPr>
              <w:spacing w:after="200"/>
            </w:pPr>
            <w:hyperlink r:id="rId51" w:history="1">
              <w:r>
                <w:rPr>
                  <w:color w:val="1e198e"/>
                  <w:b w:val="1"/>
                  <w:bCs w:val="1"/>
                  <w:u w:val="single"/>
                </w:rPr>
                <w:t xml:space="preserve">Les arcanes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2018, 05, pp.333</w:t>
            </w:r>
          </w:p>
          <w:p>
            <w:pPr/>
            <w:r>
              <w:rPr/>
              <w:t xml:space="preserve">Article dans une revue</w:t>
            </w:r>
          </w:p>
          <w:p>
            <w:pPr/>
            <w:hyperlink r:id="rId51" w:history="1">
              <w:r>
                <w:rPr>
                  <w:color w:val="#410a8c"/>
                  <w:u w:val="single"/>
                </w:rPr>
                <w:t xml:space="preserve">halshs-02240725v1</w:t>
              </w:r>
            </w:hyperlink>
          </w:p>
        </w:tc>
      </w:tr>
      <w:tr>
        <w:trPr/>
        <w:tc>
          <w:tcPr>
            <w:noWrap/>
          </w:tcPr>
          <w:p>
            <w:pPr>
              <w:spacing w:after="200"/>
            </w:pPr>
            <w:hyperlink r:id="rId52" w:history="1">
              <w:r>
                <w:rPr>
                  <w:color w:val="1e198e"/>
                  <w:b w:val="1"/>
                  <w:bCs w:val="1"/>
                  <w:u w:val="single"/>
                </w:rPr>
                <w:t xml:space="preserve">Précisions sur l'article L. 38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2018, 12, pp.736</w:t>
            </w:r>
          </w:p>
          <w:p>
            <w:pPr/>
            <w:r>
              <w:rPr/>
              <w:t xml:space="preserve">Article dans une revue</w:t>
            </w:r>
          </w:p>
          <w:p>
            <w:pPr/>
            <w:hyperlink r:id="rId52" w:history="1">
              <w:r>
                <w:rPr>
                  <w:color w:val="#410a8c"/>
                  <w:u w:val="single"/>
                </w:rPr>
                <w:t xml:space="preserve">halshs-02240801v1</w:t>
              </w:r>
            </w:hyperlink>
          </w:p>
        </w:tc>
      </w:tr>
      <w:tr>
        <w:trPr/>
        <w:tc>
          <w:tcPr>
            <w:noWrap/>
          </w:tcPr>
          <w:p>
            <w:pPr>
              <w:spacing w:after="200"/>
            </w:pPr>
            <w:hyperlink r:id="rId53" w:history="1">
              <w:r>
                <w:rPr>
                  <w:color w:val="1e198e"/>
                  <w:b w:val="1"/>
                  <w:bCs w:val="1"/>
                  <w:u w:val="single"/>
                </w:rPr>
                <w:t xml:space="preserve">Que reste-t-il du non-cumul de l'action en responsabilité pour insuffisance d'actif et des actions en responsabilité du droit des sociétés ?</w:t>
              </w:r>
            </w:hyperlink>
          </w:p>
          <w:p>
            <w:pPr/>
            <w:hyperlink r:id="rId8" w:history="1">
              <w:r>
                <w:rPr>
                  <w:color w:val="#410a8c"/>
                  <w:u w:val="single"/>
                </w:rPr>
                <w:t xml:space="preserve">Sébastien Jambort</w:t>
              </w:r>
            </w:hyperlink>
          </w:p>
          <w:p>
            <w:pPr/>
            <w:r>
              <w:rPr>
                <w:i w:val="1"/>
                <w:iCs w:val="1"/>
              </w:rPr>
              <w:t xml:space="preserve">Petites affiches</w:t>
            </w:r>
            <w:r>
              <w:rPr/>
              <w:t xml:space="preserve">, 2018, 152, p.45-49</w:t>
            </w:r>
          </w:p>
          <w:p>
            <w:pPr/>
            <w:r>
              <w:rPr/>
              <w:t xml:space="preserve">Article dans une revue</w:t>
            </w:r>
          </w:p>
          <w:p>
            <w:pPr/>
            <w:hyperlink r:id="rId53" w:history="1">
              <w:r>
                <w:rPr>
                  <w:color w:val="#410a8c"/>
                  <w:u w:val="single"/>
                </w:rPr>
                <w:t xml:space="preserve">hal-03620109v1</w:t>
              </w:r>
            </w:hyperlink>
          </w:p>
        </w:tc>
      </w:tr>
      <w:tr>
        <w:trPr/>
        <w:tc>
          <w:tcPr>
            <w:noWrap/>
          </w:tcPr>
          <w:p>
            <w:pPr>
              <w:spacing w:after="200"/>
            </w:pPr>
            <w:hyperlink r:id="rId54" w:history="1">
              <w:r>
                <w:rPr>
                  <w:color w:val="1e198e"/>
                  <w:b w:val="1"/>
                  <w:bCs w:val="1"/>
                  <w:u w:val="single"/>
                </w:rPr>
                <w:t xml:space="preserve">L'autonomie de la procédure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2014, 03, pp.190</w:t>
            </w:r>
          </w:p>
          <w:p>
            <w:pPr/>
            <w:r>
              <w:rPr/>
              <w:t xml:space="preserve">Article dans une revue</w:t>
            </w:r>
          </w:p>
          <w:p>
            <w:pPr/>
            <w:hyperlink r:id="rId54" w:history="1">
              <w:r>
                <w:rPr>
                  <w:color w:val="#410a8c"/>
                  <w:u w:val="single"/>
                </w:rPr>
                <w:t xml:space="preserve">halshs-02240157v1</w:t>
              </w:r>
            </w:hyperlink>
          </w:p>
        </w:tc>
      </w:tr>
      <w:tr>
        <w:trPr/>
        <w:tc>
          <w:tcPr>
            <w:noWrap/>
          </w:tcPr>
          <w:p>
            <w:pPr>
              <w:spacing w:after="200"/>
            </w:pPr>
            <w:hyperlink r:id="rId55" w:history="1">
              <w:r>
                <w:rPr>
                  <w:color w:val="1e198e"/>
                  <w:b w:val="1"/>
                  <w:bCs w:val="1"/>
                  <w:u w:val="single"/>
                </w:rPr>
                <w:t xml:space="preserve">L'absence de neutralité en droit fiscal des sociétés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2013, 03, pp.135</w:t>
            </w:r>
          </w:p>
          <w:p>
            <w:pPr/>
            <w:r>
              <w:rPr/>
              <w:t xml:space="preserve">Article dans une revue</w:t>
            </w:r>
          </w:p>
          <w:p>
            <w:pPr/>
            <w:hyperlink r:id="rId55" w:history="1">
              <w:r>
                <w:rPr>
                  <w:color w:val="#410a8c"/>
                  <w:u w:val="single"/>
                </w:rPr>
                <w:t xml:space="preserve">halshs-02239999v1</w:t>
              </w:r>
            </w:hyperlink>
          </w:p>
        </w:tc>
      </w:tr>
      <w:tr>
        <w:trPr/>
        <w:tc>
          <w:tcPr>
            <w:noWrap/>
          </w:tcPr>
          <w:p>
            <w:pPr>
              <w:spacing w:after="200"/>
            </w:pPr>
            <w:hyperlink r:id="rId56" w:history="1">
              <w:r>
                <w:rPr>
                  <w:color w:val="1e198e"/>
                  <w:b w:val="1"/>
                  <w:bCs w:val="1"/>
                  <w:u w:val="single"/>
                </w:rPr>
                <w:t xml:space="preserve">Point de modération en matière de solidarité fiscale pénale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2012, 03, pp.185</w:t>
            </w:r>
          </w:p>
          <w:p>
            <w:pPr/>
            <w:r>
              <w:rPr/>
              <w:t xml:space="preserve">Article dans une revue</w:t>
            </w:r>
          </w:p>
          <w:p>
            <w:pPr/>
            <w:hyperlink r:id="rId56" w:history="1">
              <w:r>
                <w:rPr>
                  <w:color w:val="#410a8c"/>
                  <w:u w:val="single"/>
                </w:rPr>
                <w:t xml:space="preserve">halshs-02239867v1</w:t>
              </w:r>
            </w:hyperlink>
          </w:p>
        </w:tc>
      </w:tr>
      <w:tr>
        <w:trPr/>
        <w:tc>
          <w:tcPr>
            <w:noWrap/>
          </w:tcPr>
          <w:p>
            <w:pPr>
              <w:spacing w:after="200"/>
            </w:pPr>
            <w:hyperlink r:id="rId57" w:history="1">
              <w:r>
                <w:rPr>
                  <w:color w:val="1e198e"/>
                  <w:b w:val="1"/>
                  <w:bCs w:val="1"/>
                  <w:u w:val="single"/>
                </w:rPr>
                <w:t xml:space="preserve">Intégration fiscale et procédures collectives</w:t>
              </w:r>
            </w:hyperlink>
          </w:p>
          <w:p>
            <w:pPr/>
            <w:hyperlink r:id="rId42" w:history="1">
              <w:r>
                <w:rPr>
                  <w:color w:val="#410a8c"/>
                  <w:u w:val="single"/>
                </w:rPr>
                <w:t xml:space="preserve">Sebastien Jambort</w:t>
              </w:r>
            </w:hyperlink>
          </w:p>
          <w:p>
            <w:pPr/>
            <w:r>
              <w:rPr>
                <w:i w:val="1"/>
                <w:iCs w:val="1"/>
              </w:rPr>
              <w:t xml:space="preserve">Revue des Sociétés [Journal des Sociétés]</w:t>
            </w:r>
            <w:r>
              <w:rPr/>
              <w:t xml:space="preserve">, 2011, 01, pp.55</w:t>
            </w:r>
          </w:p>
          <w:p>
            <w:pPr/>
            <w:r>
              <w:rPr/>
              <w:t xml:space="preserve">Article dans une revue</w:t>
            </w:r>
          </w:p>
          <w:p>
            <w:pPr/>
            <w:hyperlink r:id="rId57" w:history="1">
              <w:r>
                <w:rPr>
                  <w:color w:val="#410a8c"/>
                  <w:u w:val="single"/>
                </w:rPr>
                <w:t xml:space="preserve">halshs-02239687v1</w:t>
              </w:r>
            </w:hyperlink>
          </w:p>
        </w:tc>
      </w:tr>
      <w:tr>
        <w:trPr/>
        <w:tc>
          <w:tcPr>
            <w:noWrap/>
          </w:tcPr>
          <w:p>
            <w:pPr>
              <w:spacing w:after="200"/>
            </w:pPr>
            <w:hyperlink r:id="rId58" w:history="1">
              <w:r>
                <w:rPr>
                  <w:color w:val="1e198e"/>
                  <w:b w:val="1"/>
                  <w:bCs w:val="1"/>
                  <w:u w:val="single"/>
                </w:rPr>
                <w:t xml:space="preserve">Amende pour distribution occulte : conformité à la Constitution de la responsabilité solidaire des dirigeants</w:t>
              </w:r>
            </w:hyperlink>
          </w:p>
          <w:p>
            <w:pPr/>
            <w:hyperlink r:id="rId42" w:history="1">
              <w:r>
                <w:rPr>
                  <w:color w:val="#410a8c"/>
                  <w:u w:val="single"/>
                </w:rPr>
                <w:t xml:space="preserve">Sebastien Jambort</w:t>
              </w:r>
            </w:hyperlink>
          </w:p>
          <w:p>
            <w:pPr/>
            <w:r>
              <w:rPr>
                <w:i w:val="1"/>
                <w:iCs w:val="1"/>
              </w:rPr>
              <w:t xml:space="preserve">Revue des Sociétés [Journal des Sociétés]</w:t>
            </w:r>
            <w:r>
              <w:rPr/>
              <w:t xml:space="preserve">, 2011, 12, pp.721</w:t>
            </w:r>
          </w:p>
          <w:p>
            <w:pPr/>
            <w:r>
              <w:rPr/>
              <w:t xml:space="preserve">Article dans une revue</w:t>
            </w:r>
          </w:p>
          <w:p>
            <w:pPr/>
            <w:hyperlink r:id="rId58" w:history="1">
              <w:r>
                <w:rPr>
                  <w:color w:val="#410a8c"/>
                  <w:u w:val="single"/>
                </w:rPr>
                <w:t xml:space="preserve">halshs-02239826v1</w:t>
              </w:r>
            </w:hyperlink>
          </w:p>
        </w:tc>
      </w:tr>
      <w:tr>
        <w:trPr/>
        <w:tc>
          <w:tcPr>
            <w:noWrap/>
          </w:tcPr>
          <w:p>
            <w:pPr>
              <w:spacing w:after="200"/>
            </w:pPr>
            <w:hyperlink r:id="rId59" w:history="1">
              <w:r>
                <w:rPr>
                  <w:color w:val="1e198e"/>
                  <w:b w:val="1"/>
                  <w:bCs w:val="1"/>
                  <w:u w:val="single"/>
                </w:rPr>
                <w:t xml:space="preserve">Transmission d'entreprise et exonération d'ISF au titre des biens professionnels</w:t>
              </w:r>
            </w:hyperlink>
          </w:p>
          <w:p>
            <w:pPr/>
            <w:hyperlink r:id="rId42" w:history="1">
              <w:r>
                <w:rPr>
                  <w:color w:val="#410a8c"/>
                  <w:u w:val="single"/>
                </w:rPr>
                <w:t xml:space="preserve">Sebastien Jambort</w:t>
              </w:r>
            </w:hyperlink>
          </w:p>
          <w:p>
            <w:pPr/>
            <w:r>
              <w:rPr>
                <w:i w:val="1"/>
                <w:iCs w:val="1"/>
              </w:rPr>
              <w:t xml:space="preserve">Revue des Sociétés [Journal des Sociétés]</w:t>
            </w:r>
            <w:r>
              <w:rPr/>
              <w:t xml:space="preserve">, 2011, 11, pp.642</w:t>
            </w:r>
          </w:p>
          <w:p>
            <w:pPr/>
            <w:r>
              <w:rPr/>
              <w:t xml:space="preserve">Article dans une revue</w:t>
            </w:r>
          </w:p>
          <w:p>
            <w:pPr/>
            <w:hyperlink r:id="rId59" w:history="1">
              <w:r>
                <w:rPr>
                  <w:color w:val="#410a8c"/>
                  <w:u w:val="single"/>
                </w:rPr>
                <w:t xml:space="preserve">halshs-02239810v1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leitmotif or AI Safety : the example of vehicles with driving delegation</w:t>
              </w:r>
            </w:hyperlink>
          </w:p>
          <w:p>
            <w:pPr/>
            <w:hyperlink r:id="rId40" w:history="1">
              <w:r>
                <w:rPr>
                  <w:color w:val="#410a8c"/>
                  <w:u w:val="single"/>
                </w:rPr>
                <w:t xml:space="preserve">Teresi Laurent</w:t>
              </w:r>
            </w:hyperlink>
            <w:r>
              <w:rPr/>
              <w:t xml:space="preserve">,</w:t>
            </w:r>
            <w:hyperlink r:id="rId41" w:history="1">
              <w:r>
                <w:rPr>
                  <w:color w:val="#410a8c"/>
                  <w:u w:val="single"/>
                </w:rPr>
                <w:t xml:space="preserve">Marie-Andrée Rakotovahiny</w:t>
              </w:r>
            </w:hyperlink>
            <w:r>
              <w:rPr/>
              <w:t xml:space="preserve">,</w:t>
            </w:r>
            <w:hyperlink r:id="rId42" w:history="1">
              <w:r>
                <w:rPr>
                  <w:color w:val="#410a8c"/>
                  <w:u w:val="single"/>
                </w:rPr>
                <w:t xml:space="preserve">Sebastien Jambort</w:t>
              </w:r>
            </w:hyperlink>
          </w:p>
          <w:p>
            <w:pPr/>
            <w:r>
              <w:rPr>
                <w:i w:val="1"/>
                <w:iCs w:val="1"/>
              </w:rPr>
              <w:t xml:space="preserve">L'entreprise et l'intelligence artificielle : les réponses du droit</w:t>
            </w:r>
            <w:r>
              <w:rPr/>
              <w:t xml:space="preserve">, 2022, 978-2-36170-261-8</w:t>
            </w:r>
          </w:p>
          <w:p>
            <w:pPr/>
            <w:r>
              <w:rPr/>
              <w:t xml:space="preserve">Chapitre d'ouvrage</w:t>
            </w:r>
          </w:p>
          <w:p>
            <w:pPr/>
            <w:hyperlink r:id="rId60" w:history="1">
              <w:r>
                <w:rPr>
                  <w:color w:val="#410a8c"/>
                  <w:u w:val="single"/>
                </w:rPr>
                <w:t xml:space="preserve">hal-04775195v1</w:t>
              </w:r>
            </w:hyperlink>
          </w:p>
        </w:tc>
      </w:tr>
      <w:tr>
        <w:trPr/>
        <w:tc>
          <w:tcPr>
            <w:noWrap/>
          </w:tcPr>
          <w:p>
            <w:pPr>
              <w:spacing w:after="200"/>
            </w:pPr>
            <w:hyperlink r:id="rId61" w:history="1">
              <w:r>
                <w:rPr>
                  <w:color w:val="1e198e"/>
                  <w:b w:val="1"/>
                  <w:bCs w:val="1"/>
                  <w:u w:val="single"/>
                </w:rPr>
                <w:t xml:space="preserve">Raison d'avoir et raison d'être</w:t>
              </w:r>
            </w:hyperlink>
          </w:p>
          <w:p>
            <w:pPr/>
            <w:hyperlink r:id="rId8" w:history="1">
              <w:r>
                <w:rPr>
                  <w:color w:val="#410a8c"/>
                  <w:u w:val="single"/>
                </w:rPr>
                <w:t xml:space="preserve">Sébastien Jambort</w:t>
              </w:r>
            </w:hyperlink>
          </w:p>
          <w:p>
            <w:pPr/>
            <w:r>
              <w:rPr/>
              <w:t xml:space="preserve">Marie-Christine Sordino; Christine Lebel; Karine Rodriguez; Marie-Andrée Rakotovahiny; Catherine Malecki. </w:t>
            </w:r>
            <w:r>
              <w:rPr>
                <w:i w:val="1"/>
                <w:iCs w:val="1"/>
              </w:rPr>
              <w:t xml:space="preserve">Rencontres multicolores autour du Droit : Mélanges en l’honneur du Professeur Deen Gibirila</w:t>
            </w:r>
            <w:r>
              <w:rPr/>
              <w:t xml:space="preserve">, Presses de l'Université de Toulouse 1-Capitole, pp.185, 2021</w:t>
            </w:r>
          </w:p>
          <w:p>
            <w:pPr/>
            <w:r>
              <w:rPr/>
              <w:t xml:space="preserve">Chapitre d'ouvrage</w:t>
            </w:r>
          </w:p>
          <w:p>
            <w:pPr/>
            <w:hyperlink r:id="rId61" w:history="1">
              <w:r>
                <w:rPr>
                  <w:color w:val="#410a8c"/>
                  <w:u w:val="single"/>
                </w:rPr>
                <w:t xml:space="preserve">hal-04885061v1</w:t>
              </w:r>
            </w:hyperlink>
          </w:p>
        </w:tc>
      </w:tr>
      <w:tr>
        <w:trPr/>
        <w:tc>
          <w:tcPr>
            <w:noWrap/>
          </w:tcPr>
          <w:p>
            <w:pPr>
              <w:spacing w:after="200"/>
            </w:pPr>
            <w:hyperlink r:id="rId62" w:history="1">
              <w:r>
                <w:rPr>
                  <w:color w:val="1e198e"/>
                  <w:b w:val="1"/>
                  <w:bCs w:val="1"/>
                  <w:u w:val="single"/>
                </w:rPr>
                <w:t xml:space="preserve">Le contrat portant règlement de copropriété (brevet/logiciel)</w:t>
              </w:r>
            </w:hyperlink>
          </w:p>
          <w:p>
            <w:pPr/>
            <w:hyperlink r:id="rId8" w:history="1">
              <w:r>
                <w:rPr>
                  <w:color w:val="#410a8c"/>
                  <w:u w:val="single"/>
                </w:rPr>
                <w:t xml:space="preserve">Sébastien Jambort</w:t>
              </w:r>
            </w:hyperlink>
          </w:p>
          <w:p>
            <w:pPr/>
            <w:r>
              <w:rPr>
                <w:i w:val="1"/>
                <w:iCs w:val="1"/>
              </w:rPr>
              <w:t xml:space="preserve">Contrats sur la recherche et l'innovation : Techniques contractuelles, valorisation de la recherche, transferts de technologies</w:t>
            </w:r>
            <w:r>
              <w:rPr/>
              <w:t xml:space="preserve">, , 2018, 978-2-247-16124-9</w:t>
            </w:r>
          </w:p>
          <w:p>
            <w:pPr/>
            <w:r>
              <w:rPr/>
              <w:t xml:space="preserve">Chapitre d'ouvrage</w:t>
            </w:r>
          </w:p>
          <w:p>
            <w:pPr/>
            <w:hyperlink r:id="rId62" w:history="1">
              <w:r>
                <w:rPr>
                  <w:color w:val="#410a8c"/>
                  <w:u w:val="single"/>
                </w:rPr>
                <w:t xml:space="preserve">hal-03629075v1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5675v1" TargetMode="External"/><Relationship Id="rId8" Type="http://schemas.openxmlformats.org/officeDocument/2006/relationships/hyperlink" Target="https://hal.science/search/index/?q=*&amp;authFullName_s=S&#233;bastien Jambort" TargetMode="External"/><Relationship Id="rId9" Type="http://schemas.openxmlformats.org/officeDocument/2006/relationships/hyperlink" Target="https://shs.hal.science/halshs-04429659v1" TargetMode="External"/><Relationship Id="rId10" Type="http://schemas.openxmlformats.org/officeDocument/2006/relationships/hyperlink" Target="https://hal.science/hal-04914986v1" TargetMode="External"/><Relationship Id="rId11" Type="http://schemas.openxmlformats.org/officeDocument/2006/relationships/hyperlink" Target="https://hal.science/hal-04917992v1" TargetMode="External"/><Relationship Id="rId12" Type="http://schemas.openxmlformats.org/officeDocument/2006/relationships/hyperlink" Target="https://hal.science/hal-04915086v1" TargetMode="External"/><Relationship Id="rId13" Type="http://schemas.openxmlformats.org/officeDocument/2006/relationships/hyperlink" Target="https://shs.hal.science/halshs-03964884v1" TargetMode="External"/><Relationship Id="rId14" Type="http://schemas.openxmlformats.org/officeDocument/2006/relationships/hyperlink" Target="https://hal.science/hal-04903427v1" TargetMode="External"/><Relationship Id="rId15" Type="http://schemas.openxmlformats.org/officeDocument/2006/relationships/hyperlink" Target="https://hal.science/hal-04917961v1" TargetMode="External"/><Relationship Id="rId16" Type="http://schemas.openxmlformats.org/officeDocument/2006/relationships/hyperlink" Target="https://shs.hal.science/halshs-04118390v1" TargetMode="External"/><Relationship Id="rId17" Type="http://schemas.openxmlformats.org/officeDocument/2006/relationships/hyperlink" Target="https://shs.hal.science/halshs-04149988v1" TargetMode="External"/><Relationship Id="rId18" Type="http://schemas.openxmlformats.org/officeDocument/2006/relationships/hyperlink" Target="https://shs.hal.science/halshs-03548100v1" TargetMode="External"/><Relationship Id="rId19" Type="http://schemas.openxmlformats.org/officeDocument/2006/relationships/hyperlink" Target="https://shs.hal.science/halshs-03832322v1" TargetMode="External"/><Relationship Id="rId20" Type="http://schemas.openxmlformats.org/officeDocument/2006/relationships/hyperlink" Target="https://shs.hal.science/halshs-03655852v1" TargetMode="External"/><Relationship Id="rId21" Type="http://schemas.openxmlformats.org/officeDocument/2006/relationships/hyperlink" Target="https://hal.science/hal-04916413v1" TargetMode="External"/><Relationship Id="rId22" Type="http://schemas.openxmlformats.org/officeDocument/2006/relationships/hyperlink" Target="https://hal.science/hal-04902469v1" TargetMode="External"/><Relationship Id="rId23" Type="http://schemas.openxmlformats.org/officeDocument/2006/relationships/hyperlink" Target="https://hal.science/hal-04914743v1" TargetMode="External"/><Relationship Id="rId24" Type="http://schemas.openxmlformats.org/officeDocument/2006/relationships/hyperlink" Target="https://hal.science/hal-04917380v1" TargetMode="External"/><Relationship Id="rId25" Type="http://schemas.openxmlformats.org/officeDocument/2006/relationships/hyperlink" Target="https://hal.science/hal-04917451v1" TargetMode="External"/><Relationship Id="rId26" Type="http://schemas.openxmlformats.org/officeDocument/2006/relationships/hyperlink" Target="https://hal.science/hal-04914820v1" TargetMode="External"/><Relationship Id="rId27" Type="http://schemas.openxmlformats.org/officeDocument/2006/relationships/hyperlink" Target="https://hal.science/hal-04917982v1" TargetMode="External"/><Relationship Id="rId28" Type="http://schemas.openxmlformats.org/officeDocument/2006/relationships/hyperlink" Target="https://shs.hal.science/halshs-03151831v1" TargetMode="External"/><Relationship Id="rId29" Type="http://schemas.openxmlformats.org/officeDocument/2006/relationships/hyperlink" Target="https://shs.hal.science/halshs-03371370v1" TargetMode="External"/><Relationship Id="rId30" Type="http://schemas.openxmlformats.org/officeDocument/2006/relationships/hyperlink" Target="https://hal.science/hal-04915656v1" TargetMode="External"/><Relationship Id="rId31" Type="http://schemas.openxmlformats.org/officeDocument/2006/relationships/hyperlink" Target="https://hal.science/hal-04915652v1" TargetMode="External"/><Relationship Id="rId32" Type="http://schemas.openxmlformats.org/officeDocument/2006/relationships/hyperlink" Target="https://shs.hal.science/halshs-02491709v1" TargetMode="External"/><Relationship Id="rId33" Type="http://schemas.openxmlformats.org/officeDocument/2006/relationships/hyperlink" Target="https://hal.science/hal-04915666v1" TargetMode="External"/><Relationship Id="rId34" Type="http://schemas.openxmlformats.org/officeDocument/2006/relationships/hyperlink" Target="https://shs.hal.science/halshs-02487942v1" TargetMode="External"/><Relationship Id="rId35" Type="http://schemas.openxmlformats.org/officeDocument/2006/relationships/hyperlink" Target="https://shs.hal.science/halshs-02956152v1" TargetMode="External"/><Relationship Id="rId36" Type="http://schemas.openxmlformats.org/officeDocument/2006/relationships/hyperlink" Target="https://shs.hal.science/halshs-02983519v1" TargetMode="External"/><Relationship Id="rId37" Type="http://schemas.openxmlformats.org/officeDocument/2006/relationships/hyperlink" Target="https://hal.science/hal-04915659v1" TargetMode="External"/><Relationship Id="rId38" Type="http://schemas.openxmlformats.org/officeDocument/2006/relationships/hyperlink" Target="https://hal.science/hal-04917970v1" TargetMode="External"/><Relationship Id="rId39" Type="http://schemas.openxmlformats.org/officeDocument/2006/relationships/hyperlink" Target="https://hal.science/hal-02071841v1" TargetMode="External"/><Relationship Id="rId40" Type="http://schemas.openxmlformats.org/officeDocument/2006/relationships/hyperlink" Target="https://hal.science/search/index/?q=*&amp;authFullName_s=Teresi Laurent" TargetMode="External"/><Relationship Id="rId41" Type="http://schemas.openxmlformats.org/officeDocument/2006/relationships/hyperlink" Target="https://hal.science/search/index/?q=*&amp;authFullName_s=Marie-Andr&#233;e Rakotovahiny" TargetMode="External"/><Relationship Id="rId42" Type="http://schemas.openxmlformats.org/officeDocument/2006/relationships/hyperlink" Target="https://hal.science/search/index/?q=*&amp;authFullName_s=Sebastien Jambort" TargetMode="External"/><Relationship Id="rId43" Type="http://schemas.openxmlformats.org/officeDocument/2006/relationships/hyperlink" Target="https://shs.hal.science/halshs-02451801v1" TargetMode="External"/><Relationship Id="rId44" Type="http://schemas.openxmlformats.org/officeDocument/2006/relationships/hyperlink" Target="https://hal.science/hal-04915668v1" TargetMode="External"/><Relationship Id="rId45" Type="http://schemas.openxmlformats.org/officeDocument/2006/relationships/hyperlink" Target="https://hal.science/hal-04914624v1" TargetMode="External"/><Relationship Id="rId46" Type="http://schemas.openxmlformats.org/officeDocument/2006/relationships/hyperlink" Target="https://hal.science/hal-04914562v1" TargetMode="External"/><Relationship Id="rId47" Type="http://schemas.openxmlformats.org/officeDocument/2006/relationships/hyperlink" Target="https://shs.hal.science/halshs-02451741v1" TargetMode="External"/><Relationship Id="rId48" Type="http://schemas.openxmlformats.org/officeDocument/2006/relationships/hyperlink" Target="https://shs.hal.science/halshs-02451762v1" TargetMode="External"/><Relationship Id="rId49" Type="http://schemas.openxmlformats.org/officeDocument/2006/relationships/hyperlink" Target="https://hal.science/hal-04915671v1" TargetMode="External"/><Relationship Id="rId50" Type="http://schemas.openxmlformats.org/officeDocument/2006/relationships/hyperlink" Target="https://hal.science/hal-03621590v1" TargetMode="External"/><Relationship Id="rId51" Type="http://schemas.openxmlformats.org/officeDocument/2006/relationships/hyperlink" Target="https://shs.hal.science/halshs-02240725v1" TargetMode="External"/><Relationship Id="rId52" Type="http://schemas.openxmlformats.org/officeDocument/2006/relationships/hyperlink" Target="https://shs.hal.science/halshs-02240801v1" TargetMode="External"/><Relationship Id="rId53" Type="http://schemas.openxmlformats.org/officeDocument/2006/relationships/hyperlink" Target="https://hal.science/hal-03620109v1" TargetMode="External"/><Relationship Id="rId54" Type="http://schemas.openxmlformats.org/officeDocument/2006/relationships/hyperlink" Target="https://shs.hal.science/halshs-02240157v1" TargetMode="External"/><Relationship Id="rId55" Type="http://schemas.openxmlformats.org/officeDocument/2006/relationships/hyperlink" Target="https://shs.hal.science/halshs-02239999v1" TargetMode="External"/><Relationship Id="rId56" Type="http://schemas.openxmlformats.org/officeDocument/2006/relationships/hyperlink" Target="https://shs.hal.science/halshs-02239867v1" TargetMode="External"/><Relationship Id="rId57" Type="http://schemas.openxmlformats.org/officeDocument/2006/relationships/hyperlink" Target="https://shs.hal.science/halshs-02239687v1" TargetMode="External"/><Relationship Id="rId58" Type="http://schemas.openxmlformats.org/officeDocument/2006/relationships/hyperlink" Target="https://shs.hal.science/halshs-02239826v1" TargetMode="External"/><Relationship Id="rId59" Type="http://schemas.openxmlformats.org/officeDocument/2006/relationships/hyperlink" Target="https://shs.hal.science/halshs-02239810v1" TargetMode="External"/><Relationship Id="rId60" Type="http://schemas.openxmlformats.org/officeDocument/2006/relationships/hyperlink" Target="https://hal.science/hal-04775195v1" TargetMode="External"/><Relationship Id="rId61" Type="http://schemas.openxmlformats.org/officeDocument/2006/relationships/hyperlink" Target="https://hal.science/hal-04885061v1" TargetMode="External"/><Relationship Id="rId62" Type="http://schemas.openxmlformats.org/officeDocument/2006/relationships/hyperlink" Target="https://ut3-toulouseinp.hal.science/hal-03629075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Jambort</dc:title>
  <dc:description>CV</dc:description>
  <dc:subject/>
  <cp:keywords/>
  <cp:category/>
  <cp:lastModifiedBy/>
  <dcterms:created xsi:type="dcterms:W3CDTF">2026-03-17T16:05:53+01:00</dcterms:created>
  <dcterms:modified xsi:type="dcterms:W3CDTF">2026-03-17T16:05:53+01:00</dcterms:modified>
</cp:coreProperties>
</file>

<file path=docProps/custom.xml><?xml version="1.0" encoding="utf-8"?>
<Properties xmlns="http://schemas.openxmlformats.org/officeDocument/2006/custom-properties" xmlns:vt="http://schemas.openxmlformats.org/officeDocument/2006/docPropsVTypes"/>
</file>