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 Duc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C****ursus général</w:t>
      </w:r>
    </w:p>
    <w:p>
      <w:pPr/>
      <w:r>
        <w:rPr/>
        <w:t xml:space="preserve">Depuis 2010, je suis titulaire du concours de l’agrégation d’histoire. Doctorant contractuel puis ATER à l’Université Paris Sorbonne durant les années de mon doctorat, j’ai pu conduire mes recherches tout en enseignant entre 2011 et 2016. L’année suivante, au sein du LabEx Écrire une Histoire Nouvelle de l’Europe, j’ai été en charge du secrétariat scientifique de l’Axe de recherche </w:t>
      </w:r>
      <w:r>
        <w:rPr>
          <w:i w:val="1"/>
          <w:iCs w:val="1"/>
        </w:rPr>
        <w:t xml:space="preserve">Humanisme européen (XVIe-XXe siècles)</w:t>
      </w:r>
      <w:r>
        <w:rPr/>
        <w:t xml:space="preserve">. Depuis 2017, je suis membre de l’École française de Rome.</w:t>
      </w:r>
    </w:p>
    <w:p>
      <w:pPr/>
      <w:r>
        <w:rPr>
          <w:b w:val="1"/>
          <w:bCs w:val="1"/>
        </w:rPr>
        <w:t xml:space="preserve">Responsabilités pédagogiques, administratives et scientifiques</w:t>
      </w:r>
    </w:p>
    <w:p>
      <w:pPr/>
      <w:r>
        <w:rPr/>
        <w:t xml:space="preserve">Tout au long de mes cinq années de doctorat en France, j’ai pu enseigner à l’université aux trois années de licence en travaux dirigés comme en cours magistraux. Depuis deux ans en Italie, dans le cadre du baccalauréat franco-italien, je donne des conférences à portée pédagogique et culturelle aux professeurs d’histoire. Depuis 2012, j’exerce régulièrement des responsabilités administratives. À Paris-Sorbonne, j’ai représenté les doctorants auprès des Collèges de l’Institut de recherche sur les civilisations de l’occident moderne (IRCOM) ainsi qu’à l’École doctorale II (Histoire moderne et contemporaine). À l’École française de Rome, j’ai été membre des comités de la Bibliothèque. A présent, je suis au comité éditorial des Presses de l’École. En collaboration, j’ai coordonné plusieurs événements scientifiques : un colloque international, trois journées d’études et trois atelier de travail. L’ensemble de ces activités m’ont permis de me familiariser avec la codirection de publications collectives et les outils de la diffusion en ligne de la recherche.</w:t>
      </w:r>
    </w:p>
    <w:p>
      <w:pPr/>
      <w:r>
        <w:rPr>
          <w:b w:val="1"/>
          <w:bCs w:val="1"/>
        </w:rPr>
        <w:t xml:space="preserve">Parcours de chercheur</w:t>
      </w:r>
    </w:p>
    <w:p>
      <w:pPr/>
      <w:r>
        <w:rPr/>
        <w:t xml:space="preserve">Dans le cadre de la première modernité, l’histoire des pouvoirs constitue le cœur de mes recherches transnationales, entre la péninsule italienne soumise à une guerre européenne puis à la Pax hispanica, le royaume de France se projetant outremont et l’empire Habsbourg unissant terres du sud et du nord de l’Europe. Après une thèse de doctorat sur les modalités de conquête, de gouvernement et de révolte dans la Lombardie des guerres d’Italie (1515-1530), mon projet de recherches à l’École française de Rome se situe, à la croisée de l’histoire du couple (Teodoro Trivulzio et Bona Bevilacqua), des familles (la casa trivulzia, la première des maisons au service des Français) et du pouvoir souverain (les monarchies des Valois, des Habsbourg et des Sforza).</w:t>
      </w:r>
    </w:p>
    <w:p>
      <w:pPr/>
      <w:r>
        <w:rPr>
          <w:b w:val="1"/>
          <w:bCs w:val="1"/>
        </w:rPr>
        <w:t xml:space="preserve">Parutions, communications et expertises</w:t>
      </w:r>
    </w:p>
    <w:p>
      <w:pPr/>
      <w:r>
        <w:rPr/>
        <w:t xml:space="preserve">Issu de ma thèse, mon livre sur </w:t>
      </w:r>
      <w:r>
        <w:rPr>
          <w:i w:val="1"/>
          <w:iCs w:val="1"/>
        </w:rPr>
        <w:t xml:space="preserve">La Guerre de Milan (1515-1530)</w:t>
      </w:r>
      <w:r>
        <w:rPr/>
        <w:t xml:space="preserve"> est paru en septembre 2019. Cette publication suit celle des actes du colloque co-dirigé avec David Chaunu sur le thème de la domination comme expérience européenne et américaine, et précède un dossier sur la notion de « jour d’après » dans les sociétés d’Ancien régime, à paraître prochainement dans les </w:t>
      </w:r>
      <w:r>
        <w:rPr>
          <w:i w:val="1"/>
          <w:iCs w:val="1"/>
        </w:rPr>
        <w:t xml:space="preserve">Mélanges de l’École française de Rome (Italie et Méditerranée)</w:t>
      </w:r>
      <w:r>
        <w:rPr/>
        <w:t xml:space="preserve">, co-dirigé avec David Chaunu et Antoine Sénéchal. Plus largement, mes travaux croisent les thématiques suivantes : la souveraineté (guerre et sacré, servitude volontaire, expansion territoriale, etc.) ; les imaginaires de la domination (pastoralité et prédation, « dedans » et « dehors » etc.) ; le lien entre consensus et contrainte (médiations, négociations, révoltes, répressions, etc.) ; les intermédiaires nobiliaires entre le pouvoir souverain et les sujets (hommes-femmes, couples, familles/maisons et seigneuries).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Utopiens croient donc à une vie future’’. Temporalités, actions et possibilités du ‘‘jour d’après’’ (Méditerranée et Atlantique, XVIe-XVIIIe siècles)</w:t>
              </w:r>
            </w:hyperlink>
          </w:p>
          <w:p>
            <w:pPr/>
            <w:hyperlink r:id="rId8" w:history="1">
              <w:r>
                <w:rPr>
                  <w:color w:val="#410a8c"/>
                  <w:u w:val="single"/>
                </w:rPr>
                <w:t xml:space="preserve">David Chaunu</w:t>
              </w:r>
            </w:hyperlink>
            <w:r>
              <w:rPr/>
              <w:t xml:space="preserve">,</w:t>
            </w:r>
            <w:hyperlink r:id="rId9" w:history="1">
              <w:r>
                <w:rPr>
                  <w:color w:val="#410a8c"/>
                  <w:u w:val="single"/>
                </w:rPr>
                <w:t xml:space="preserve">Séverin Duc</w:t>
              </w:r>
            </w:hyperlink>
            <w:r>
              <w:rPr/>
              <w:t xml:space="preserve">,</w:t>
            </w:r>
            <w:hyperlink r:id="rId10" w:history="1">
              <w:r>
                <w:rPr>
                  <w:color w:val="#410a8c"/>
                  <w:u w:val="single"/>
                </w:rPr>
                <w:t xml:space="preserve">Antoine Sénéchal</w:t>
              </w:r>
            </w:hyperlink>
          </w:p>
          <w:p>
            <w:pPr/>
            <w:r>
              <w:rPr>
                <w:i w:val="1"/>
                <w:iCs w:val="1"/>
              </w:rPr>
              <w:t xml:space="preserve">Mélanges de l'École française de Rome – Italie et Méditerranée modernes et contemporaines</w:t>
            </w:r>
            <w:r>
              <w:rPr/>
              <w:t xml:space="preserve">, 2020, Le jour d’après. Comment s’établit une nouvelle domination (1500-1800), 132-1, pp.13-24. </w:t>
            </w:r>
            <w:hyperlink r:id="rId11" w:history="1">
              <w:r>
                <w:rPr>
                  <w:color w:val="#410a8c"/>
                  <w:u w:val="single"/>
                </w:rPr>
                <w:t xml:space="preserve">⟨10.4000/mefrim.7267⟩</w:t>
              </w:r>
            </w:hyperlink>
          </w:p>
          <w:p>
            <w:pPr/>
            <w:r>
              <w:rPr/>
              <w:t xml:space="preserve">Article dans une revue</w:t>
            </w:r>
          </w:p>
          <w:p>
            <w:pPr/>
            <w:hyperlink r:id="rId12" w:history="1">
              <w:r>
                <w:rPr>
                  <w:color w:val="#410a8c"/>
                  <w:u w:val="single"/>
                </w:rPr>
                <w:t xml:space="preserve">istex</w:t>
              </w:r>
            </w:hyperlink>
          </w:p>
          <w:p>
            <w:pPr/>
            <w:hyperlink r:id="rId7" w:history="1">
              <w:r>
                <w:rPr>
                  <w:color w:val="#410a8c"/>
                  <w:u w:val="single"/>
                </w:rPr>
                <w:t xml:space="preserve">hal-02050513v1</w:t>
              </w:r>
            </w:hyperlink>
          </w:p>
        </w:tc>
      </w:tr>
      <w:tr>
        <w:trPr/>
        <w:tc>
          <w:tcPr>
            <w:noWrap/>
          </w:tcPr>
          <w:p>
            <w:pPr>
              <w:spacing w:after="200"/>
            </w:pPr>
            <w:hyperlink r:id="rId13" w:history="1">
              <w:r>
                <w:rPr>
                  <w:color w:val="1e198e"/>
                  <w:b w:val="1"/>
                  <w:bCs w:val="1"/>
                  <w:u w:val="single"/>
                </w:rPr>
                <w:t xml:space="preserve">Mémoires collectives d’un souvenir traumatique : les Vêpres siciliennes (1282-premier XVIe siècle)</w:t>
              </w:r>
            </w:hyperlink>
          </w:p>
          <w:p>
            <w:pPr/>
            <w:hyperlink r:id="rId9" w:history="1">
              <w:r>
                <w:rPr>
                  <w:color w:val="#410a8c"/>
                  <w:u w:val="single"/>
                </w:rPr>
                <w:t xml:space="preserve">Séverin Duc</w:t>
              </w:r>
            </w:hyperlink>
          </w:p>
          <w:p>
            <w:pPr/>
            <w:r>
              <w:rPr>
                <w:i w:val="1"/>
                <w:iCs w:val="1"/>
              </w:rPr>
              <w:t xml:space="preserve">Annuaire suisse d’histoire économique et sociale</w:t>
            </w:r>
            <w:r>
              <w:rPr/>
              <w:t xml:space="preserve">, 2020, 35, pp.67-82. </w:t>
            </w:r>
            <w:hyperlink r:id="rId14" w:history="1">
              <w:r>
                <w:rPr>
                  <w:color w:val="#410a8c"/>
                  <w:u w:val="single"/>
                </w:rPr>
                <w:t xml:space="preserve">⟨10.5169/seals-881001⟩</w:t>
              </w:r>
            </w:hyperlink>
          </w:p>
          <w:p>
            <w:pPr/>
            <w:r>
              <w:rPr/>
              <w:t xml:space="preserve">Article dans une revue</w:t>
            </w:r>
          </w:p>
          <w:p>
            <w:pPr/>
            <w:hyperlink r:id="rId13" w:history="1">
              <w:r>
                <w:rPr>
                  <w:color w:val="#410a8c"/>
                  <w:u w:val="single"/>
                </w:rPr>
                <w:t xml:space="preserve">halshs-02477814v1</w:t>
              </w:r>
            </w:hyperlink>
          </w:p>
        </w:tc>
      </w:tr>
      <w:tr>
        <w:trPr/>
        <w:tc>
          <w:tcPr>
            <w:noWrap/>
          </w:tcPr>
          <w:p>
            <w:pPr>
              <w:spacing w:after="200"/>
            </w:pPr>
            <w:hyperlink r:id="rId15" w:history="1">
              <w:r>
                <w:rPr>
                  <w:color w:val="1e198e"/>
                  <w:b w:val="1"/>
                  <w:bCs w:val="1"/>
                  <w:u w:val="single"/>
                </w:rPr>
                <w:t xml:space="preserve">L’art européen de la chasse à l’homme. Prédation, violences et domination au temps des guerres d’Italie (c. 1500-c. 1530)</w:t>
              </w:r>
            </w:hyperlink>
          </w:p>
          <w:p>
            <w:pPr/>
            <w:hyperlink r:id="rId9" w:history="1">
              <w:r>
                <w:rPr>
                  <w:color w:val="#410a8c"/>
                  <w:u w:val="single"/>
                </w:rPr>
                <w:t xml:space="preserve">Séverin Duc</w:t>
              </w:r>
            </w:hyperlink>
          </w:p>
          <w:p>
            <w:pPr/>
            <w:r>
              <w:rPr>
                <w:i w:val="1"/>
                <w:iCs w:val="1"/>
              </w:rPr>
              <w:t xml:space="preserve">Politika : la politique à l'épreuve des sciences sociales </w:t>
            </w:r>
            <w:r>
              <w:rPr/>
              <w:t xml:space="preserve">, 2020</w:t>
            </w:r>
          </w:p>
          <w:p>
            <w:pPr/>
            <w:r>
              <w:rPr/>
              <w:t xml:space="preserve">Article dans une revue</w:t>
            </w:r>
          </w:p>
          <w:p>
            <w:pPr/>
            <w:hyperlink r:id="rId15" w:history="1">
              <w:r>
                <w:rPr>
                  <w:color w:val="#410a8c"/>
                  <w:u w:val="single"/>
                </w:rPr>
                <w:t xml:space="preserve">halshs-02477795v1</w:t>
              </w:r>
            </w:hyperlink>
          </w:p>
        </w:tc>
      </w:tr>
      <w:tr>
        <w:trPr/>
        <w:tc>
          <w:tcPr>
            <w:noWrap/>
          </w:tcPr>
          <w:p>
            <w:pPr>
              <w:spacing w:after="200"/>
            </w:pPr>
            <w:hyperlink r:id="rId16" w:history="1">
              <w:r>
                <w:rPr>
                  <w:color w:val="1e198e"/>
                  <w:b w:val="1"/>
                  <w:bCs w:val="1"/>
                  <w:u w:val="single"/>
                </w:rPr>
                <w:t xml:space="preserve">Il Prezzo delle guerre lombarde. Rovina dello stato, distruzione della ricchezza e disastro sociale (1515-1535)</w:t>
              </w:r>
            </w:hyperlink>
          </w:p>
          <w:p>
            <w:pPr/>
            <w:hyperlink r:id="rId9" w:history="1">
              <w:r>
                <w:rPr>
                  <w:color w:val="#410a8c"/>
                  <w:u w:val="single"/>
                </w:rPr>
                <w:t xml:space="preserve">Séverin Duc</w:t>
              </w:r>
            </w:hyperlink>
          </w:p>
          <w:p>
            <w:pPr/>
            <w:r>
              <w:rPr>
                <w:i w:val="1"/>
                <w:iCs w:val="1"/>
              </w:rPr>
              <w:t xml:space="preserve">Storia economica </w:t>
            </w:r>
            <w:r>
              <w:rPr/>
              <w:t xml:space="preserve">, 2016, Anno XIX (1)</w:t>
            </w:r>
          </w:p>
          <w:p>
            <w:pPr/>
            <w:r>
              <w:rPr/>
              <w:t xml:space="preserve">Article dans une revue</w:t>
            </w:r>
          </w:p>
          <w:p>
            <w:pPr/>
            <w:hyperlink r:id="rId16" w:history="1">
              <w:r>
                <w:rPr>
                  <w:color w:val="#410a8c"/>
                  <w:u w:val="single"/>
                </w:rPr>
                <w:t xml:space="preserve">halshs-02477835v1</w:t>
              </w:r>
            </w:hyperlink>
          </w:p>
        </w:tc>
      </w:tr>
      <w:tr>
        <w:trPr/>
        <w:tc>
          <w:tcPr>
            <w:noWrap/>
          </w:tcPr>
          <w:p>
            <w:pPr>
              <w:spacing w:after="200"/>
            </w:pPr>
            <w:hyperlink r:id="rId17" w:history="1">
              <w:r>
                <w:rPr>
                  <w:color w:val="1e198e"/>
                  <w:b w:val="1"/>
                  <w:bCs w:val="1"/>
                  <w:u w:val="single"/>
                </w:rPr>
                <w:t xml:space="preserve">Écrire pour ne pas mourir. Lettres de résistance de Francesco II Sforza, duc de Milan (automne 1526)</w:t>
              </w:r>
            </w:hyperlink>
          </w:p>
          <w:p>
            <w:pPr/>
            <w:hyperlink r:id="rId9" w:history="1">
              <w:r>
                <w:rPr>
                  <w:color w:val="#410a8c"/>
                  <w:u w:val="single"/>
                </w:rPr>
                <w:t xml:space="preserve">Séverin Duc</w:t>
              </w:r>
            </w:hyperlink>
          </w:p>
          <w:p>
            <w:pPr/>
            <w:r>
              <w:rPr>
                <w:i w:val="1"/>
                <w:iCs w:val="1"/>
              </w:rPr>
              <w:t xml:space="preserve">Laboratoire italien. Politique et société</w:t>
            </w:r>
            <w:r>
              <w:rPr/>
              <w:t xml:space="preserve">, 2016, Textes et documents au temps des Guerres d'Italie : Alciato, Gagliano, Guicciardini, Machiavel, Sforza (17), </w:t>
            </w:r>
            <w:hyperlink r:id="rId18" w:history="1">
              <w:r>
                <w:rPr>
                  <w:color w:val="#410a8c"/>
                  <w:u w:val="single"/>
                </w:rPr>
                <w:t xml:space="preserve">⟨10.4000/laboratoireitalien.976⟩</w:t>
              </w:r>
            </w:hyperlink>
          </w:p>
          <w:p>
            <w:pPr/>
            <w:r>
              <w:rPr/>
              <w:t xml:space="preserve">Article dans une revue</w:t>
            </w:r>
          </w:p>
          <w:p>
            <w:pPr/>
            <w:hyperlink r:id="rId17" w:history="1">
              <w:r>
                <w:rPr>
                  <w:color w:val="#410a8c"/>
                  <w:u w:val="single"/>
                </w:rPr>
                <w:t xml:space="preserve">halshs-02477683v1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Si je n’y mettais cet ordre, je ne tiendrais pas votre pays sûr&amp;quot;. Rébellion et ordre royal dans la Lombardie assiégée des Valois (1521)</w:t>
              </w:r>
            </w:hyperlink>
          </w:p>
          <w:p>
            <w:pPr/>
            <w:hyperlink r:id="rId9" w:history="1">
              <w:r>
                <w:rPr>
                  <w:color w:val="#410a8c"/>
                  <w:u w:val="single"/>
                </w:rPr>
                <w:t xml:space="preserve">Séverin Duc</w:t>
              </w:r>
            </w:hyperlink>
          </w:p>
          <w:p>
            <w:pPr/>
            <w:r>
              <w:rPr>
                <w:i w:val="1"/>
                <w:iCs w:val="1"/>
              </w:rPr>
              <w:t xml:space="preserve">Sicherheitsprobleme im 16. und 17. Jahrundert. Bedrohungen, Konzepte, Ambivalenzen</w:t>
            </w:r>
            <w:r>
              <w:rPr/>
              <w:t xml:space="preserve">, Institut historique allemand, Sep 2016, Paris, France. pp.429-441</w:t>
            </w:r>
          </w:p>
          <w:p>
            <w:pPr/>
            <w:r>
              <w:rPr/>
              <w:t xml:space="preserve">Communication dans un congrès</w:t>
            </w:r>
          </w:p>
          <w:p>
            <w:pPr/>
            <w:hyperlink r:id="rId19" w:history="1">
              <w:r>
                <w:rPr>
                  <w:color w:val="#410a8c"/>
                  <w:u w:val="single"/>
                </w:rPr>
                <w:t xml:space="preserve">halshs-02478251v1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domination comme expérience européenne et américaine à l’époque moderne</w:t>
              </w:r>
            </w:hyperlink>
          </w:p>
          <w:p>
            <w:pPr/>
            <w:hyperlink r:id="rId8" w:history="1">
              <w:r>
                <w:rPr>
                  <w:color w:val="#410a8c"/>
                  <w:u w:val="single"/>
                </w:rPr>
                <w:t xml:space="preserve">David Chaunu</w:t>
              </w:r>
            </w:hyperlink>
            <w:r>
              <w:rPr/>
              <w:t xml:space="preserve">,</w:t>
            </w:r>
            <w:hyperlink r:id="rId9" w:history="1">
              <w:r>
                <w:rPr>
                  <w:color w:val="#410a8c"/>
                  <w:u w:val="single"/>
                </w:rPr>
                <w:t xml:space="preserve">Séverin Duc</w:t>
              </w:r>
            </w:hyperlink>
          </w:p>
          <w:p>
            <w:pPr/>
            <w:hyperlink r:id="rId21" w:history="1">
              <w:r>
                <w:rPr>
                  <w:color w:val="#410a8c"/>
                  <w:u w:val="single"/>
                </w:rPr>
                <w:t xml:space="preserve">Peter Lang</w:t>
              </w:r>
            </w:hyperlink>
            <w:r>
              <w:rPr/>
              <w:t xml:space="preserve">, 2019, Ecrire une Histoire nouvelle de l'Europe, vol. 8, 9782807608412. </w:t>
            </w:r>
            <w:hyperlink r:id="rId22" w:history="1">
              <w:r>
                <w:rPr>
                  <w:color w:val="#410a8c"/>
                  <w:u w:val="single"/>
                </w:rPr>
                <w:t xml:space="preserve">⟨10.3726/b15353⟩</w:t>
              </w:r>
            </w:hyperlink>
          </w:p>
          <w:p>
            <w:pPr/>
            <w:r>
              <w:rPr/>
              <w:t xml:space="preserve">Ouvrages</w:t>
            </w:r>
          </w:p>
          <w:p>
            <w:pPr/>
            <w:hyperlink r:id="rId20" w:history="1">
              <w:r>
                <w:rPr>
                  <w:color w:val="#410a8c"/>
                  <w:u w:val="single"/>
                </w:rPr>
                <w:t xml:space="preserve">halshs-02477599v1</w:t>
              </w:r>
            </w:hyperlink>
          </w:p>
        </w:tc>
      </w:tr>
      <w:tr>
        <w:trPr/>
        <w:tc>
          <w:tcPr>
            <w:noWrap/>
          </w:tcPr>
          <w:p>
            <w:pPr>
              <w:spacing w:after="200"/>
            </w:pPr>
            <w:hyperlink r:id="rId23" w:history="1">
              <w:r>
                <w:rPr>
                  <w:color w:val="1e198e"/>
                  <w:b w:val="1"/>
                  <w:bCs w:val="1"/>
                  <w:u w:val="single"/>
                </w:rPr>
                <w:t xml:space="preserve">La guerre de Milan</w:t>
              </w:r>
            </w:hyperlink>
          </w:p>
          <w:p>
            <w:pPr/>
            <w:hyperlink r:id="rId9" w:history="1">
              <w:r>
                <w:rPr>
                  <w:color w:val="#410a8c"/>
                  <w:u w:val="single"/>
                </w:rPr>
                <w:t xml:space="preserve">Séverin Duc</w:t>
              </w:r>
            </w:hyperlink>
          </w:p>
          <w:p>
            <w:pPr/>
            <w:hyperlink r:id="rId24" w:history="1">
              <w:r>
                <w:rPr>
                  <w:color w:val="#410a8c"/>
                  <w:u w:val="single"/>
                </w:rPr>
                <w:t xml:space="preserve">Champ Vallon</w:t>
              </w:r>
            </w:hyperlink>
            <w:r>
              <w:rPr/>
              <w:t xml:space="preserve">, 2019, Epoques, Joël Cornette, 979-10-267-0842-1</w:t>
            </w:r>
          </w:p>
          <w:p>
            <w:pPr/>
            <w:r>
              <w:rPr/>
              <w:t xml:space="preserve">Ouvrages</w:t>
            </w:r>
          </w:p>
          <w:p>
            <w:pPr/>
            <w:hyperlink r:id="rId23" w:history="1">
              <w:r>
                <w:rPr>
                  <w:color w:val="#410a8c"/>
                  <w:u w:val="single"/>
                </w:rPr>
                <w:t xml:space="preserve">hal-02434565v1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Patronage et clientélisme en Milanais (1519-1598)</w:t>
              </w:r>
            </w:hyperlink>
          </w:p>
          <w:p>
            <w:pPr/>
            <w:hyperlink r:id="rId9" w:history="1">
              <w:r>
                <w:rPr>
                  <w:color w:val="#410a8c"/>
                  <w:u w:val="single"/>
                </w:rPr>
                <w:t xml:space="preserve">Séverin Duc</w:t>
              </w:r>
            </w:hyperlink>
          </w:p>
          <w:p>
            <w:pPr/>
            <w:r>
              <w:rPr/>
              <w:t xml:space="preserve">Andoni Artola Renedo; José Maria Imizcoz Buenza. </w:t>
            </w:r>
            <w:r>
              <w:rPr>
                <w:i w:val="1"/>
                <w:iCs w:val="1"/>
              </w:rPr>
              <w:t xml:space="preserve">Patronazgo y Clientelismo en la Monarquía hispánica (siglos XVI-XIX)</w:t>
            </w:r>
            <w:r>
              <w:rPr/>
              <w:t xml:space="preserve">, Servicio Editorial de la Universidad del País Vasco, pp.235-258, 2016, 9788490823019</w:t>
            </w:r>
          </w:p>
          <w:p>
            <w:pPr/>
            <w:r>
              <w:rPr/>
              <w:t xml:space="preserve">Chapitre d'ouvrage</w:t>
            </w:r>
          </w:p>
          <w:p>
            <w:pPr/>
            <w:hyperlink r:id="rId25" w:history="1">
              <w:r>
                <w:rPr>
                  <w:color w:val="#410a8c"/>
                  <w:u w:val="single"/>
                </w:rPr>
                <w:t xml:space="preserve">halshs-02477910v1</w:t>
              </w:r>
            </w:hyperlink>
          </w:p>
        </w:tc>
      </w:tr>
      <w:tr>
        <w:trPr/>
        <w:tc>
          <w:tcPr>
            <w:noWrap/>
          </w:tcPr>
          <w:p>
            <w:pPr>
              <w:spacing w:after="200"/>
            </w:pPr>
            <w:hyperlink r:id="rId26" w:history="1">
              <w:r>
                <w:rPr>
                  <w:color w:val="1e198e"/>
                  <w:b w:val="1"/>
                  <w:bCs w:val="1"/>
                  <w:u w:val="single"/>
                </w:rPr>
                <w:t xml:space="preserve">L’Impuissance de l’outrance. François Ier face à Francesco II Sforza et Charles Quint dans l’affaire Meraviglia (1533)</w:t>
              </w:r>
            </w:hyperlink>
          </w:p>
          <w:p>
            <w:pPr/>
            <w:hyperlink r:id="rId9" w:history="1">
              <w:r>
                <w:rPr>
                  <w:color w:val="#410a8c"/>
                  <w:u w:val="single"/>
                </w:rPr>
                <w:t xml:space="preserve">Séverin Duc</w:t>
              </w:r>
            </w:hyperlink>
          </w:p>
          <w:p>
            <w:pPr/>
            <w:r>
              <w:rPr>
                <w:i w:val="1"/>
                <w:iCs w:val="1"/>
              </w:rPr>
              <w:t xml:space="preserve">Négociations d’hier, leçons pour aujourd’hui</w:t>
            </w:r>
            <w:r>
              <w:rPr/>
              <w:t xml:space="preserve">, </w:t>
            </w:r>
            <w:hyperlink r:id="rId27" w:history="1">
              <w:r>
                <w:rPr>
                  <w:color w:val="#410a8c"/>
                  <w:u w:val="single"/>
                </w:rPr>
                <w:t xml:space="preserve">Larcier</w:t>
              </w:r>
            </w:hyperlink>
            <w:r>
              <w:rPr/>
              <w:t xml:space="preserve">, 2014, 9782804468354</w:t>
            </w:r>
          </w:p>
          <w:p>
            <w:pPr/>
            <w:r>
              <w:rPr/>
              <w:t xml:space="preserve">Chapitre d'ouvrage</w:t>
            </w:r>
          </w:p>
          <w:p>
            <w:pPr/>
            <w:hyperlink r:id="rId26" w:history="1">
              <w:r>
                <w:rPr>
                  <w:color w:val="#410a8c"/>
                  <w:u w:val="single"/>
                </w:rPr>
                <w:t xml:space="preserve">halshs-02477934v1</w:t>
              </w:r>
            </w:hyperlink>
          </w:p>
        </w:tc>
      </w:tr>
      <w:tr>
        <w:trPr/>
        <w:tc>
          <w:tcPr>
            <w:noWrap/>
          </w:tcPr>
          <w:p>
            <w:pPr>
              <w:spacing w:after="200"/>
            </w:pPr>
            <w:hyperlink r:id="rId28" w:history="1">
              <w:r>
                <w:rPr>
                  <w:color w:val="1e198e"/>
                  <w:b w:val="1"/>
                  <w:bCs w:val="1"/>
                  <w:u w:val="single"/>
                </w:rPr>
                <w:t xml:space="preserve">Pavie en état de siège (1524-1525)</w:t>
              </w:r>
            </w:hyperlink>
          </w:p>
          <w:p>
            <w:pPr/>
            <w:hyperlink r:id="rId9" w:history="1">
              <w:r>
                <w:rPr>
                  <w:color w:val="#410a8c"/>
                  <w:u w:val="single"/>
                </w:rPr>
                <w:t xml:space="preserve">Séverin Duc</w:t>
              </w:r>
            </w:hyperlink>
          </w:p>
          <w:p>
            <w:pPr/>
            <w:r>
              <w:rPr>
                <w:i w:val="1"/>
                <w:iCs w:val="1"/>
              </w:rPr>
              <w:t xml:space="preserve">Nella morsa della guerra. Assedi, occupazioni militari e saccheggi in età preindustriale</w:t>
            </w:r>
            <w:r>
              <w:rPr/>
              <w:t xml:space="preserve">, FrancoAngeli, 2013, 9788820433482</w:t>
            </w:r>
          </w:p>
          <w:p>
            <w:pPr/>
            <w:r>
              <w:rPr/>
              <w:t xml:space="preserve">Chapitre d'ouvrage</w:t>
            </w:r>
          </w:p>
          <w:p>
            <w:pPr/>
            <w:hyperlink r:id="rId28" w:history="1">
              <w:r>
                <w:rPr>
                  <w:color w:val="#410a8c"/>
                  <w:u w:val="single"/>
                </w:rPr>
                <w:t xml:space="preserve">halshs-02478185v1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50513v1" TargetMode="External"/><Relationship Id="rId8" Type="http://schemas.openxmlformats.org/officeDocument/2006/relationships/hyperlink" Target="https://hal.science/search/index/?q=*&amp;authFullName_s=David Chaunu" TargetMode="External"/><Relationship Id="rId9" Type="http://schemas.openxmlformats.org/officeDocument/2006/relationships/hyperlink" Target="https://hal.science/search/index/?q=*&amp;authFullName_s=S&#233;verin Duc" TargetMode="External"/><Relationship Id="rId10" Type="http://schemas.openxmlformats.org/officeDocument/2006/relationships/hyperlink" Target="https://hal.science/search/index/?q=*&amp;authFullName_s=Antoine S&#233;n&#233;chal" TargetMode="External"/><Relationship Id="rId11" Type="http://schemas.openxmlformats.org/officeDocument/2006/relationships/hyperlink" Target="https://dx.doi.org/10.4000/mefrim.7267" TargetMode="External"/><Relationship Id="rId12" Type="http://schemas.openxmlformats.org/officeDocument/2006/relationships/hyperlink" Target="https://api.istex.fr/ark:/67375/G14-6PX1G0SM-H/fulltext.pdf?sid=hal" TargetMode="External"/><Relationship Id="rId13" Type="http://schemas.openxmlformats.org/officeDocument/2006/relationships/hyperlink" Target="https://shs.hal.science/halshs-02477814v1" TargetMode="External"/><Relationship Id="rId14" Type="http://schemas.openxmlformats.org/officeDocument/2006/relationships/hyperlink" Target="https://dx.doi.org/10.5169/seals-881001" TargetMode="External"/><Relationship Id="rId15" Type="http://schemas.openxmlformats.org/officeDocument/2006/relationships/hyperlink" Target="https://shs.hal.science/halshs-02477795v1" TargetMode="External"/><Relationship Id="rId16" Type="http://schemas.openxmlformats.org/officeDocument/2006/relationships/hyperlink" Target="https://shs.hal.science/halshs-02477835v1" TargetMode="External"/><Relationship Id="rId17" Type="http://schemas.openxmlformats.org/officeDocument/2006/relationships/hyperlink" Target="https://shs.hal.science/halshs-02477683v1" TargetMode="External"/><Relationship Id="rId18" Type="http://schemas.openxmlformats.org/officeDocument/2006/relationships/hyperlink" Target="https://dx.doi.org/10.4000/laboratoireitalien.976" TargetMode="External"/><Relationship Id="rId19" Type="http://schemas.openxmlformats.org/officeDocument/2006/relationships/hyperlink" Target="https://shs.hal.science/halshs-02478251v1" TargetMode="External"/><Relationship Id="rId20" Type="http://schemas.openxmlformats.org/officeDocument/2006/relationships/hyperlink" Target="https://shs.hal.science/halshs-02477599v1" TargetMode="External"/><Relationship Id="rId21" Type="http://schemas.openxmlformats.org/officeDocument/2006/relationships/hyperlink" Target="https://www.peterlang.com/view/title/68150" TargetMode="External"/><Relationship Id="rId22" Type="http://schemas.openxmlformats.org/officeDocument/2006/relationships/hyperlink" Target="https://dx.doi.org/10.3726/b15353" TargetMode="External"/><Relationship Id="rId23" Type="http://schemas.openxmlformats.org/officeDocument/2006/relationships/hyperlink" Target="https://hal.science/hal-02434565v1" TargetMode="External"/><Relationship Id="rId24" Type="http://schemas.openxmlformats.org/officeDocument/2006/relationships/hyperlink" Target="http://www.champ-vallon.com" TargetMode="External"/><Relationship Id="rId25" Type="http://schemas.openxmlformats.org/officeDocument/2006/relationships/hyperlink" Target="https://shs.hal.science/halshs-02477910v1" TargetMode="External"/><Relationship Id="rId26" Type="http://schemas.openxmlformats.org/officeDocument/2006/relationships/hyperlink" Target="https://shs.hal.science/halshs-02477934v1" TargetMode="External"/><Relationship Id="rId27" Type="http://schemas.openxmlformats.org/officeDocument/2006/relationships/hyperlink" Target="https://www.larcier.com/fr/negociations-d-hier-lecons-pour-aujourd-hui-2014-9782804468354.html" TargetMode="External"/><Relationship Id="rId28" Type="http://schemas.openxmlformats.org/officeDocument/2006/relationships/hyperlink" Target="https://shs.hal.science/halshs-02478185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 Duc</dc:title>
  <dc:description>CV</dc:description>
  <dc:subject/>
  <cp:keywords/>
  <cp:category/>
  <cp:lastModifiedBy/>
  <dcterms:created xsi:type="dcterms:W3CDTF">2026-04-15T21:45:34+02:00</dcterms:created>
  <dcterms:modified xsi:type="dcterms:W3CDTF">2026-04-15T21:45:34+02:00</dcterms:modified>
</cp:coreProperties>
</file>

<file path=docProps/custom.xml><?xml version="1.0" encoding="utf-8"?>
<Properties xmlns="http://schemas.openxmlformats.org/officeDocument/2006/custom-properties" xmlns:vt="http://schemas.openxmlformats.org/officeDocument/2006/docPropsVTypes"/>
</file>