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Baron </w:t>
      </w:r>
      <w:r>
        <w:rPr>
          <w:color w:val="641e6e"/>
        </w:rPr>
        <w:t xml:space="preserve">ATER à l'Université d’Évry</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Docteure en histoire médiévale (2023), agrégée d'histoire (2016), ancienne élève de l'École normale supérieure de Lyon (2013-2017).</w:t>
      </w:r>
    </w:p>
    <w:p>
      <w:pPr>
        <w:numPr>
          <w:ilvl w:val="0"/>
          <w:numId w:val="1"/>
        </w:numPr>
      </w:pPr>
      <w:r>
        <w:rPr/>
        <w:t xml:space="preserve">Depuis 2022 : ATER à mi-temps (Université d'Évry).</w:t>
      </w:r>
    </w:p>
    <w:p>
      <w:pPr>
        <w:numPr>
          <w:ilvl w:val="0"/>
          <w:numId w:val="1"/>
        </w:numPr>
      </w:pPr>
      <w:r>
        <w:rPr/>
        <w:t xml:space="preserve">2019-2022 : doctorante contractuelle (Université Paris Cité).</w:t>
      </w:r>
    </w:p>
    <w:p>
      <w:pPr/>
      <w:r>
        <w:rPr>
          <w:i w:val="1"/>
          <w:iCs w:val="1"/>
        </w:rPr>
        <w:t xml:space="preserve">&amp;quot;Troys seurs de noble lignaige&amp;quot;. Commande, réception et usages des images de la parenté du Christ en France (XIIIe-milieu du XVIe siècle)</w:t>
      </w:r>
      <w:r>
        <w:rPr/>
        <w:t xml:space="preserve">, sous la direction de Didier Lett et Véronique Rouchon (Université Lumière Lyon 2).</w:t>
      </w:r>
    </w:p>
    <w:p>
      <w:pPr/>
      <w:r>
        <w:rPr/>
        <w:t xml:space="preserve">Cette thèse a pour point de départ les images de la parenté du Christ produites dans l'aire française entre le XIIIe et le milieu du XVIe siècle. Cette parenté a pour protagonistes des femmes : Anne, grand-mère du Christ, ainsi que la Vierge et ses deux demi-sœurs, objet d'une dévotion collective sous le vocable des Trois Maries. Leur intercession est requise dans les étapes majeures du cycle de vie familiale (mariage, conception, mort). Cependant, l'épanouissement de ces dévotions et des images qui leur sont liées se produit tardivement, alors même que le système de dévolution des biens et du pouvoir connaît une inflexion patrilignagère. Les études de cas, portant sur des œuvres documentées, montrent notamment que ces images participent à l'élaboration d'une mémoire mixte, dans des maisons aristocratiques où les apports des épouses ou aïeules au capital économique et symbolique du groupe sont particulièrement notables. Dans les milieux royaux et princiers, où les femmes sont progressivement marginalisées depuis l'exclusion des filles du trône de France (1317), la promotion de ces dévotions et d'une mémoire au féminin permet aux parentes du roi ou du prince de consolider voire de définir leur place dynastique. Le culte des parentes du Christ revêt en outre une tonalité polémique durant la guerre de Cent ans, les rois anglais instrumentalisant la Vierge pour clamer leurs droits sur la couronne de France.</w:t>
      </w:r>
    </w:p>
    <w:p>
      <w:pPr/>
      <w:r>
        <w:rPr>
          <w:b w:val="1"/>
          <w:bCs w:val="1"/>
        </w:rPr>
        <w:t xml:space="preserve">Domaines de recherche :</w:t>
      </w:r>
    </w:p>
    <w:p>
      <w:pPr>
        <w:numPr>
          <w:ilvl w:val="0"/>
          <w:numId w:val="2"/>
        </w:numPr>
      </w:pPr>
      <w:r>
        <w:rPr/>
        <w:t xml:space="preserve">Histoire de la parenté et de la famille</w:t>
      </w:r>
    </w:p>
    <w:p>
      <w:pPr>
        <w:numPr>
          <w:ilvl w:val="0"/>
          <w:numId w:val="2"/>
        </w:numPr>
      </w:pPr>
      <w:r>
        <w:rPr/>
        <w:t xml:space="preserve">Histoire du genre et des femmes</w:t>
      </w:r>
    </w:p>
    <w:p>
      <w:pPr>
        <w:numPr>
          <w:ilvl w:val="0"/>
          <w:numId w:val="2"/>
        </w:numPr>
      </w:pPr>
      <w:r>
        <w:rPr/>
        <w:t xml:space="preserve">Histoire culturelle et sociale des élites</w:t>
      </w:r>
    </w:p>
    <w:p>
      <w:pPr>
        <w:numPr>
          <w:ilvl w:val="0"/>
          <w:numId w:val="2"/>
        </w:numPr>
      </w:pPr>
      <w:r>
        <w:rPr/>
        <w:t xml:space="preserve">Images et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Le genre domestique : vingt-cinq ans de recherches sur la maison médiévale et le genre</w:t>
              </w:r>
            </w:hyperlink>
          </w:p>
          <w:p>
            <w:pPr/>
            <w:hyperlink r:id="rId8" w:history="1">
              <w:r>
                <w:rPr>
                  <w:color w:val="#410a8c"/>
                  <w:u w:val="single"/>
                </w:rPr>
                <w:t xml:space="preserve">Solène Baron</w:t>
              </w:r>
            </w:hyperlink>
            <w:r>
              <w:rPr/>
              <w:t xml:space="preserve">,</w:t>
            </w:r>
            <w:hyperlink r:id="rId9" w:history="1">
              <w:r>
                <w:rPr>
                  <w:color w:val="#410a8c"/>
                  <w:u w:val="single"/>
                </w:rPr>
                <w:t xml:space="preserve">Clémentine Girault</w:t>
              </w:r>
            </w:hyperlink>
          </w:p>
          <w:p>
            <w:pPr/>
            <w:r>
              <w:rPr>
                <w:i w:val="1"/>
                <w:iCs w:val="1"/>
              </w:rPr>
              <w:t xml:space="preserve">Genre &amp; histoire</w:t>
            </w:r>
            <w:r>
              <w:rPr/>
              <w:t xml:space="preserve">, 2025, 35, </w:t>
            </w:r>
            <w:hyperlink r:id="rId10" w:history="1">
              <w:r>
                <w:rPr>
                  <w:color w:val="#410a8c"/>
                  <w:u w:val="single"/>
                </w:rPr>
                <w:t xml:space="preserve">⟨10.4000/149uh⟩</w:t>
              </w:r>
            </w:hyperlink>
          </w:p>
          <w:p>
            <w:pPr/>
            <w:r>
              <w:rPr/>
              <w:t xml:space="preserve">Article dans une revue</w:t>
            </w:r>
          </w:p>
          <w:p>
            <w:pPr/>
            <w:hyperlink r:id="rId7" w:history="1">
              <w:r>
                <w:rPr>
                  <w:color w:val="#410a8c"/>
                  <w:u w:val="single"/>
                </w:rPr>
                <w:t xml:space="preserve">hal-05144892v1</w:t>
              </w:r>
            </w:hyperlink>
          </w:p>
        </w:tc>
      </w:tr>
      <w:tr>
        <w:trPr/>
        <w:tc>
          <w:tcPr>
            <w:noWrap/>
          </w:tcPr>
          <w:p>
            <w:pPr>
              <w:spacing w:after="200"/>
            </w:pPr>
            <w:hyperlink r:id="rId11" w:history="1">
              <w:r>
                <w:rPr>
                  <w:color w:val="1e198e"/>
                  <w:b w:val="1"/>
                  <w:bCs w:val="1"/>
                  <w:u w:val="single"/>
                </w:rPr>
                <w:t xml:space="preserve">Christiane Klapisch-Zuber, Florence à l’écritoire. Écriture et mémoire, XIVe-XVe siècles</w:t>
              </w:r>
            </w:hyperlink>
          </w:p>
          <w:p>
            <w:pPr/>
            <w:hyperlink r:id="rId8" w:history="1">
              <w:r>
                <w:rPr>
                  <w:color w:val="#410a8c"/>
                  <w:u w:val="single"/>
                </w:rPr>
                <w:t xml:space="preserve">Solène Baron</w:t>
              </w:r>
            </w:hyperlink>
          </w:p>
          <w:p>
            <w:pPr/>
            <w:r>
              <w:rPr>
                <w:i w:val="1"/>
                <w:iCs w:val="1"/>
              </w:rPr>
              <w:t xml:space="preserve">Lectures</w:t>
            </w:r>
            <w:r>
              <w:rPr/>
              <w:t xml:space="preserve">, 2023, </w:t>
            </w:r>
            <w:hyperlink r:id="rId12" w:history="1">
              <w:r>
                <w:rPr>
                  <w:color w:val="#410a8c"/>
                  <w:u w:val="single"/>
                </w:rPr>
                <w:t xml:space="preserve">⟨10.4000/lectures.61309⟩</w:t>
              </w:r>
            </w:hyperlink>
          </w:p>
          <w:p>
            <w:pPr/>
            <w:r>
              <w:rPr/>
              <w:t xml:space="preserve">Article dans une revue</w:t>
            </w:r>
          </w:p>
          <w:p>
            <w:pPr/>
            <w:hyperlink r:id="rId11" w:history="1">
              <w:r>
                <w:rPr>
                  <w:color w:val="#410a8c"/>
                  <w:u w:val="single"/>
                </w:rPr>
                <w:t xml:space="preserve">hal-04273396v1</w:t>
              </w:r>
            </w:hyperlink>
          </w:p>
        </w:tc>
      </w:tr>
      <w:tr>
        <w:trPr/>
        <w:tc>
          <w:tcPr>
            <w:noWrap/>
          </w:tcPr>
          <w:p>
            <w:pPr>
              <w:spacing w:after="200"/>
            </w:pPr>
            <w:hyperlink r:id="rId13" w:history="1">
              <w:r>
                <w:rPr>
                  <w:color w:val="1e198e"/>
                  <w:b w:val="1"/>
                  <w:bCs w:val="1"/>
                  <w:u w:val="single"/>
                </w:rPr>
                <w:t xml:space="preserve">Bernard Gendrel, Muriel Labouret et Élisabeth Le Corre (dir.), De Gethsémani au Golgotha. La Passion dans l’art et dans la littérature</w:t>
              </w:r>
            </w:hyperlink>
          </w:p>
          <w:p>
            <w:pPr/>
            <w:hyperlink r:id="rId8" w:history="1">
              <w:r>
                <w:rPr>
                  <w:color w:val="#410a8c"/>
                  <w:u w:val="single"/>
                </w:rPr>
                <w:t xml:space="preserve">Solène Baron</w:t>
              </w:r>
            </w:hyperlink>
          </w:p>
          <w:p>
            <w:pPr/>
            <w:r>
              <w:rPr>
                <w:i w:val="1"/>
                <w:iCs w:val="1"/>
              </w:rPr>
              <w:t xml:space="preserve">Revue de l'histoire des religions</w:t>
            </w:r>
            <w:r>
              <w:rPr/>
              <w:t xml:space="preserve">, 2023, 240 (3), pp.519-521</w:t>
            </w:r>
          </w:p>
          <w:p>
            <w:pPr/>
            <w:r>
              <w:rPr/>
              <w:t xml:space="preserve">Article dans une revue</w:t>
            </w:r>
            <w:r>
              <w:rPr/>
              <w:t xml:space="preserve"> (compte-rendu de lecture)</w:t>
            </w:r>
          </w:p>
          <w:p>
            <w:pPr/>
            <w:hyperlink r:id="rId13" w:history="1">
              <w:r>
                <w:rPr>
                  <w:color w:val="#410a8c"/>
                  <w:u w:val="single"/>
                </w:rPr>
                <w:t xml:space="preserve">hal-04273358v1</w:t>
              </w:r>
            </w:hyperlink>
          </w:p>
        </w:tc>
      </w:tr>
      <w:tr>
        <w:trPr/>
        <w:tc>
          <w:tcPr>
            <w:noWrap/>
          </w:tcPr>
          <w:p>
            <w:pPr>
              <w:spacing w:after="200"/>
            </w:pPr>
            <w:hyperlink r:id="rId14" w:history="1">
              <w:r>
                <w:rPr>
                  <w:color w:val="1e198e"/>
                  <w:b w:val="1"/>
                  <w:bCs w:val="1"/>
                  <w:u w:val="single"/>
                </w:rPr>
                <w:t xml:space="preserve">Marie de Valois et ses descendants, ou l’honneur d’être bâtarde (XVe siècle)</w:t>
              </w:r>
            </w:hyperlink>
          </w:p>
          <w:p>
            <w:pPr/>
            <w:hyperlink r:id="rId8" w:history="1">
              <w:r>
                <w:rPr>
                  <w:color w:val="#410a8c"/>
                  <w:u w:val="single"/>
                </w:rPr>
                <w:t xml:space="preserve">Solène Baron</w:t>
              </w:r>
            </w:hyperlink>
          </w:p>
          <w:p>
            <w:pPr/>
            <w:r>
              <w:rPr>
                <w:i w:val="1"/>
                <w:iCs w:val="1"/>
              </w:rPr>
              <w:t xml:space="preserve">Clio. Femmes, Genre, Histoire</w:t>
            </w:r>
            <w:r>
              <w:rPr/>
              <w:t xml:space="preserve">, 2022, 56 (2), pp.251-268</w:t>
            </w:r>
          </w:p>
          <w:p>
            <w:pPr/>
            <w:r>
              <w:rPr/>
              <w:t xml:space="preserve">Article dans une revue</w:t>
            </w:r>
          </w:p>
          <w:p>
            <w:pPr/>
            <w:hyperlink r:id="rId14" w:history="1">
              <w:r>
                <w:rPr>
                  <w:color w:val="#410a8c"/>
                  <w:u w:val="single"/>
                </w:rPr>
                <w:t xml:space="preserve">hal-04273326v1</w:t>
              </w:r>
            </w:hyperlink>
          </w:p>
        </w:tc>
      </w:tr>
      <w:tr>
        <w:trPr/>
        <w:tc>
          <w:tcPr>
            <w:noWrap/>
          </w:tcPr>
          <w:p>
            <w:pPr>
              <w:spacing w:after="200"/>
            </w:pPr>
            <w:hyperlink r:id="rId15" w:history="1">
              <w:r>
                <w:rPr>
                  <w:color w:val="1e198e"/>
                  <w:b w:val="1"/>
                  <w:bCs w:val="1"/>
                  <w:u w:val="single"/>
                </w:rPr>
                <w:t xml:space="preserve">Joan A. Holladay, Genealogy and the Politics of Representation in the High and Late Middle Ages, Cambridge University Press, 2019</w:t>
              </w:r>
            </w:hyperlink>
          </w:p>
          <w:p>
            <w:pPr/>
            <w:hyperlink r:id="rId8" w:history="1">
              <w:r>
                <w:rPr>
                  <w:color w:val="#410a8c"/>
                  <w:u w:val="single"/>
                </w:rPr>
                <w:t xml:space="preserve">Solène Baron</w:t>
              </w:r>
            </w:hyperlink>
          </w:p>
          <w:p>
            <w:pPr/>
            <w:r>
              <w:rPr>
                <w:i w:val="1"/>
                <w:iCs w:val="1"/>
              </w:rPr>
              <w:t xml:space="preserve">Revue de l'Art</w:t>
            </w:r>
            <w:r>
              <w:rPr/>
              <w:t xml:space="preserve">, 2021, 212, pp.84</w:t>
            </w:r>
          </w:p>
          <w:p>
            <w:pPr/>
            <w:r>
              <w:rPr/>
              <w:t xml:space="preserve">Article dans une revue</w:t>
            </w:r>
            <w:r>
              <w:rPr/>
              <w:t xml:space="preserve"> (compte-rendu de lecture)</w:t>
            </w:r>
          </w:p>
          <w:p>
            <w:pPr/>
            <w:hyperlink r:id="rId15" w:history="1">
              <w:r>
                <w:rPr>
                  <w:color w:val="#410a8c"/>
                  <w:u w:val="single"/>
                </w:rPr>
                <w:t xml:space="preserve">hal-04273384v1</w:t>
              </w:r>
            </w:hyperlink>
          </w:p>
        </w:tc>
      </w:tr>
      <w:tr>
        <w:trPr/>
        <w:tc>
          <w:tcPr>
            <w:noWrap/>
          </w:tcPr>
          <w:p>
            <w:pPr>
              <w:spacing w:after="200"/>
            </w:pPr>
            <w:hyperlink r:id="rId16" w:history="1">
              <w:r>
                <w:rPr>
                  <w:color w:val="1e198e"/>
                  <w:b w:val="1"/>
                  <w:bCs w:val="1"/>
                  <w:u w:val="single"/>
                </w:rPr>
                <w:t xml:space="preserve">Giulia Puma, Les Nativités italiennes (1250-1450). Une histoire d’adoration, Paris, EFR, 2019</w:t>
              </w:r>
            </w:hyperlink>
          </w:p>
          <w:p>
            <w:pPr/>
            <w:hyperlink r:id="rId8" w:history="1">
              <w:r>
                <w:rPr>
                  <w:color w:val="#410a8c"/>
                  <w:u w:val="single"/>
                </w:rPr>
                <w:t xml:space="preserve">Solène Baron</w:t>
              </w:r>
            </w:hyperlink>
          </w:p>
          <w:p>
            <w:pPr/>
            <w:r>
              <w:rPr>
                <w:i w:val="1"/>
                <w:iCs w:val="1"/>
              </w:rPr>
              <w:t xml:space="preserve">Revue de l'Art</w:t>
            </w:r>
            <w:r>
              <w:rPr/>
              <w:t xml:space="preserve">, 2020, 208</w:t>
            </w:r>
          </w:p>
          <w:p>
            <w:pPr/>
            <w:r>
              <w:rPr/>
              <w:t xml:space="preserve">Article dans une revue</w:t>
            </w:r>
            <w:r>
              <w:rPr/>
              <w:t xml:space="preserve"> (compte-rendu de lecture)</w:t>
            </w:r>
          </w:p>
          <w:p>
            <w:pPr/>
            <w:hyperlink r:id="rId16" w:history="1">
              <w:r>
                <w:rPr>
                  <w:color w:val="#410a8c"/>
                  <w:u w:val="single"/>
                </w:rPr>
                <w:t xml:space="preserve">hal-04273391v1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Macé Prestesaille (fin du XVe siècle) : veuf éploré, père solitaire</w:t>
              </w:r>
            </w:hyperlink>
          </w:p>
          <w:p>
            <w:pPr/>
            <w:hyperlink r:id="rId8" w:history="1">
              <w:r>
                <w:rPr>
                  <w:color w:val="#410a8c"/>
                  <w:u w:val="single"/>
                </w:rPr>
                <w:t xml:space="preserve">Solène Baron</w:t>
              </w:r>
            </w:hyperlink>
          </w:p>
          <w:p>
            <w:pPr/>
            <w:r>
              <w:rPr/>
              <w:t xml:space="preserve">Claire-Lise Gaillard; Juliette Eyméoud. </w:t>
            </w:r>
            <w:r>
              <w:rPr>
                <w:i w:val="1"/>
                <w:iCs w:val="1"/>
              </w:rPr>
              <w:t xml:space="preserve">Histoire de célibats : du Moyen Âge au XXe siècle</w:t>
            </w:r>
            <w:r>
              <w:rPr/>
              <w:t xml:space="preserve">, Presses Universitaires de France, pp.29-40, 2023, 978-2-13-084934-6</w:t>
            </w:r>
          </w:p>
          <w:p>
            <w:pPr/>
            <w:r>
              <w:rPr/>
              <w:t xml:space="preserve">Chapitre d'ouvrage</w:t>
            </w:r>
          </w:p>
          <w:p>
            <w:pPr/>
            <w:hyperlink r:id="rId17" w:history="1">
              <w:r>
                <w:rPr>
                  <w:color w:val="#410a8c"/>
                  <w:u w:val="single"/>
                </w:rPr>
                <w:t xml:space="preserve">hal-04863999v1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8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4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4892v1" TargetMode="External"/><Relationship Id="rId8" Type="http://schemas.openxmlformats.org/officeDocument/2006/relationships/hyperlink" Target="https://hal.science/search/index/?q=*&amp;authFullName_s=Sol&#232;ne Baron" TargetMode="External"/><Relationship Id="rId9" Type="http://schemas.openxmlformats.org/officeDocument/2006/relationships/hyperlink" Target="https://hal.science/search/index/?q=*&amp;authFullName_s=Cl&#233;mentine Girault" TargetMode="External"/><Relationship Id="rId10" Type="http://schemas.openxmlformats.org/officeDocument/2006/relationships/hyperlink" Target="https://dx.doi.org/10.4000/149uh" TargetMode="External"/><Relationship Id="rId11" Type="http://schemas.openxmlformats.org/officeDocument/2006/relationships/hyperlink" Target="https://hal.science/hal-04273396v1" TargetMode="External"/><Relationship Id="rId12" Type="http://schemas.openxmlformats.org/officeDocument/2006/relationships/hyperlink" Target="https://dx.doi.org/10.4000/lectures.61309" TargetMode="External"/><Relationship Id="rId13" Type="http://schemas.openxmlformats.org/officeDocument/2006/relationships/hyperlink" Target="https://hal.science/hal-04273358v1" TargetMode="External"/><Relationship Id="rId14" Type="http://schemas.openxmlformats.org/officeDocument/2006/relationships/hyperlink" Target="https://hal.science/hal-04273326v1" TargetMode="External"/><Relationship Id="rId15" Type="http://schemas.openxmlformats.org/officeDocument/2006/relationships/hyperlink" Target="https://hal.science/hal-04273384v1" TargetMode="External"/><Relationship Id="rId16" Type="http://schemas.openxmlformats.org/officeDocument/2006/relationships/hyperlink" Target="https://hal.science/hal-04273391v1" TargetMode="External"/><Relationship Id="rId17" Type="http://schemas.openxmlformats.org/officeDocument/2006/relationships/hyperlink" Target="https://hal.science/hal-04863999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Baron</dc:title>
  <dc:description>CV</dc:description>
  <dc:subject/>
  <cp:keywords/>
  <cp:category/>
  <cp:lastModifiedBy/>
  <dcterms:created xsi:type="dcterms:W3CDTF">2026-04-30T13:26:19+02:00</dcterms:created>
  <dcterms:modified xsi:type="dcterms:W3CDTF">2026-04-30T13:26:19+02:00</dcterms:modified>
</cp:coreProperties>
</file>

<file path=docProps/custom.xml><?xml version="1.0" encoding="utf-8"?>
<Properties xmlns="http://schemas.openxmlformats.org/officeDocument/2006/custom-properties" xmlns:vt="http://schemas.openxmlformats.org/officeDocument/2006/docPropsVTypes"/>
</file>