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Crépin </w:t>
      </w:r>
      <w:r>
        <w:rPr>
          <w:color w:val="641e6e"/>
        </w:rPr>
        <w:t xml:space="preserve">Doctorante en droit privé et enseignante-contractuelle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droit privé à l’Université de Caen ;sujet de la thèse : L’entrepreneur individuel en couple</w:t>
      </w:r>
    </w:p>
    <w:p>
      <w:pPr/>
      <w:r>
        <w:rPr/>
        <w:t xml:space="preserve">Enseignante contractuelle depuis 09/2022 (Université de Caen UFR LVE - Département LEA / Université de Caen UFR de Droit - Antenne d’'Alençon / Université de Caen / IAE de Caen - Antenne de Cherbourg)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 pendant l’instance en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pp.1733-1753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hal-05126989v1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26989v1" TargetMode="External"/><Relationship Id="rId9" Type="http://schemas.openxmlformats.org/officeDocument/2006/relationships/hyperlink" Target="https://hal.science/search/index/?q=*&amp;authFullName_s=St&#233;phanie Cr&#233;pi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Crépin</dc:title>
  <dc:description>CV</dc:description>
  <dc:subject/>
  <cp:keywords/>
  <cp:category/>
  <cp:lastModifiedBy/>
  <dcterms:created xsi:type="dcterms:W3CDTF">2026-03-27T05:51:08+01:00</dcterms:created>
  <dcterms:modified xsi:type="dcterms:W3CDTF">2026-03-27T05:51:08+01:00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