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Tetyana KILESSO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Tetyana KILESSO-CONTANT</w:t>
      </w:r>
    </w:p>
    <w:p>
      <w:pPr/>
      <w:r>
        <w:rPr/>
        <w:t xml:space="preserve">Docteur en Etudes Slaves</w:t>
      </w:r>
    </w:p>
    <w:p>
      <w:pPr/>
      <w:r>
        <w:rPr/>
        <w:t xml:space="preserve">Née le 25.12.1966 à Kiev (Ukraine)</w:t>
      </w:r>
    </w:p>
    <w:p>
      <w:pPr/>
      <w:r>
        <w:rPr/>
        <w:t xml:space="preserve">Nationalité française</w:t>
      </w:r>
    </w:p>
    <w:p>
      <w:pPr/>
      <w:r>
        <w:rPr/>
        <w:t xml:space="preserve">Mariée, 3 enfants</w:t>
      </w:r>
    </w:p>
    <w:p>
      <w:pPr/>
      <w:r>
        <w:rPr/>
        <w:t xml:space="preserve">52, boulevard Saint-Denis</w:t>
      </w:r>
    </w:p>
    <w:p>
      <w:pPr/>
      <w:r>
        <w:rPr/>
        <w:t xml:space="preserve">92400 Courbevoie</w:t>
      </w:r>
    </w:p>
    <w:p>
      <w:pPr/>
      <w:r>
        <w:rPr/>
        <w:t xml:space="preserve">01 43 34 87 89</w:t>
      </w:r>
    </w:p>
    <w:p>
      <w:pPr/>
      <w:hyperlink r:id="rId8" w:history="1">
        <w:r>
          <w:rPr>
            <w:color w:val="#410a8c"/>
            <w:u w:val="single"/>
          </w:rPr>
          <w:t xml:space="preserve">tetyana.kilesso@gmail.com</w:t>
        </w:r>
      </w:hyperlink>
    </w:p>
    <w:p>
      <w:pPr/>
      <w:r>
        <w:rPr>
          <w:b w:val="1"/>
          <w:bCs w:val="1"/>
        </w:rPr>
        <w:t xml:space="preserve">CHAMPS DISCIPLINAIRE :</w:t>
      </w:r>
    </w:p>
    <w:p>
      <w:pPr>
        <w:numPr>
          <w:ilvl w:val="0"/>
          <w:numId w:val="1"/>
        </w:numPr>
      </w:pPr>
      <w:r>
        <w:rPr/>
        <w:t xml:space="preserve">Théorie et histoire de l’architecture ;</w:t>
      </w:r>
    </w:p>
    <w:p>
      <w:pPr>
        <w:numPr>
          <w:ilvl w:val="0"/>
          <w:numId w:val="1"/>
        </w:numPr>
      </w:pPr>
      <w:r>
        <w:rPr/>
        <w:t xml:space="preserve">Civilisation ukrainienne ;</w:t>
      </w:r>
    </w:p>
    <w:p>
      <w:pPr>
        <w:numPr>
          <w:ilvl w:val="0"/>
          <w:numId w:val="1"/>
        </w:numPr>
      </w:pPr>
      <w:r>
        <w:rPr/>
        <w:t xml:space="preserve">Histoire de l’art en Europe centrale et orientale.</w:t>
      </w:r>
    </w:p>
    <w:p>
      <w:pPr/>
      <w:r>
        <w:rPr>
          <w:b w:val="1"/>
          <w:bCs w:val="1"/>
        </w:rPr>
        <w:t xml:space="preserve">AFFILIATION SCIENTIFIQUE</w:t>
      </w:r>
      <w:r>
        <w:rPr/>
        <w:t xml:space="preserve"> :</w:t>
      </w:r>
    </w:p>
    <w:p>
      <w:pPr/>
      <w:r>
        <w:rPr/>
        <w:t xml:space="preserve">Membre post-doctoral de l’unité mixte de recherche (URM) 8224 EUR’ORBEM (Cultures et sociétés d’Europe centrale, balkanique et médiane), Université de Paris Sorbonne - IV et Centre National de la Recherche Scientifique (CNRS)</w:t>
      </w:r>
    </w:p>
    <w:p>
      <w:pPr/>
      <w:r>
        <w:rPr>
          <w:b w:val="1"/>
          <w:bCs w:val="1"/>
        </w:rPr>
        <w:t xml:space="preserve">EXPERIENCE PROFESSIONNELLE :</w:t>
      </w:r>
    </w:p>
    <w:p>
      <w:pPr/>
      <w:r>
        <w:rPr/>
        <w:t xml:space="preserve">Depuis 2013</w:t>
      </w:r>
    </w:p>
    <w:p>
      <w:pPr/>
      <w:r>
        <w:rPr/>
        <w:t xml:space="preserve">Chargée de cours à l’Institut National des Langues et des Civilisations Orientales (INALCO), Département Europe centrale et orientale :  civilisation ukrainienne, les arts en Ukraine.</w:t>
      </w:r>
    </w:p>
    <w:p>
      <w:pPr/>
      <w:r>
        <w:rPr/>
        <w:t xml:space="preserve">1997-2000</w:t>
      </w:r>
    </w:p>
    <w:p>
      <w:pPr/>
      <w:r>
        <w:rPr/>
        <w:t xml:space="preserve">Maître de conférences à l’Académie Nationale des Beaux-Arts et de l’Architecture : histoire de l’architecture générale, histoire de l’architecture de l’Ukraine, histoire de l’architecture de la Russie ancienne, histoire de l’architecture soviétique, principes de la recherche scientifique, la théorie de la synthèse des arts, initiation à la composition architecturale.</w:t>
      </w:r>
    </w:p>
    <w:p>
      <w:pPr/>
      <w:r>
        <w:rPr/>
        <w:t xml:space="preserve">1997-2000</w:t>
      </w:r>
    </w:p>
    <w:p>
      <w:pPr/>
      <w:r>
        <w:rPr/>
        <w:t xml:space="preserve">Chargée de cours à l’Académie Nationale des cadres supérieurs de la culture et des arts, Ministère de la culture de l’Ukraine (Kiev).</w:t>
      </w:r>
    </w:p>
    <w:p>
      <w:pPr/>
      <w:r>
        <w:rPr/>
        <w:t xml:space="preserve">1991-2000</w:t>
      </w:r>
    </w:p>
    <w:p>
      <w:pPr/>
      <w:r>
        <w:rPr/>
        <w:t xml:space="preserve">Chercheuseà l’Institut de théorie et d’histoire de l’architecture et de l’urbanisme ( Kiev).</w:t>
      </w:r>
    </w:p>
    <w:p>
      <w:pPr/>
      <w:r>
        <w:rPr/>
        <w:t xml:space="preserve">1990-1991</w:t>
      </w:r>
    </w:p>
    <w:p>
      <w:pPr/>
      <w:r>
        <w:rPr/>
        <w:t xml:space="preserve">Architecte à l’Institut « Kievproekt » (Kiev).</w:t>
      </w:r>
    </w:p>
    <w:p>
      <w:pPr/>
      <w:r>
        <w:rPr/>
        <w:t xml:space="preserve">1988-2000</w:t>
      </w:r>
    </w:p>
    <w:p>
      <w:pPr/>
      <w:r>
        <w:rPr/>
        <w:t xml:space="preserve">Guide touristique et conférencière.</w:t>
      </w:r>
    </w:p>
    <w:p>
      <w:pPr/>
      <w:r>
        <w:rPr/>
        <w:t xml:space="preserve">Nombreuses missions pour le service culturel et le service économique de l’Ambassade de France en Ukraine (Kiev) : conférences, visites guidés, organisation de manifestations culturelles et colloques.</w:t>
      </w:r>
    </w:p>
    <w:p>
      <w:pPr/>
      <w:r>
        <w:rPr>
          <w:b w:val="1"/>
          <w:bCs w:val="1"/>
        </w:rPr>
        <w:t xml:space="preserve">FORMATION ET DIPLÔMES :</w:t>
      </w:r>
    </w:p>
    <w:p>
      <w:pPr/>
      <w:r>
        <w:rPr/>
        <w:t xml:space="preserve">2010-2017</w:t>
      </w:r>
    </w:p>
    <w:p>
      <w:pPr/>
      <w:r>
        <w:rPr/>
        <w:t xml:space="preserve">Doctorat en études slaves à Paris Sorbonne-IV, école doctorale IV « Civilisations, cultures, littératures et sociétés », sujet de thèse : « La reconstruction de l’avenue Xreščatyk à Kiev (1944-1955) : des premiers projets à la réalisation finale », sous la direction du professeur Pierre Gonneau, soutenue le 30 janvier 2018 au Centre d’études slaves.</w:t>
      </w:r>
    </w:p>
    <w:p>
      <w:pPr/>
      <w:r>
        <w:rPr/>
        <w:t xml:space="preserve">1992-1995</w:t>
      </w:r>
    </w:p>
    <w:p>
      <w:pPr/>
      <w:r>
        <w:rPr/>
        <w:t xml:space="preserve">Doctorat en architecture « La formation de l’architecture de Kiev aux XVII-XVIIIe siècles et l’œuvre de l’architecte Ivan Hrygorovyč-Bars’kyj, sous la direction du professeur Volodymyr Nikitin, spécialité 18.00.01 «Théorie et histoire de l’architecture, restauration des monuments historiques», thèse soutenue le 5 novembre 1996 à l’Académie Nationale des Beaux-Arts et de l’Architecture (Kiev).</w:t>
      </w:r>
    </w:p>
    <w:p>
      <w:pPr/>
      <w:r>
        <w:rPr/>
        <w:t xml:space="preserve">1984-1990</w:t>
      </w:r>
    </w:p>
    <w:p>
      <w:pPr/>
      <w:r>
        <w:rPr/>
        <w:t xml:space="preserve">Faculté d’architecture de l’Académie Nationale des Arts (Kiev), atelier de la professeure Natalya Čmutina, projet de diplôme « L’hôtel de l’agence de voyages « Intourist&amp;quot; à Kiev », mention « Très bien », titre – architecte.</w:t>
      </w:r>
    </w:p>
    <w:p>
      <w:pPr/>
      <w:r>
        <w:rPr/>
        <w:t xml:space="preserve">1981-1984</w:t>
      </w:r>
    </w:p>
    <w:p>
      <w:pPr/>
      <w:r>
        <w:rPr/>
        <w:t xml:space="preserve">Lycée № 49 de Kiev spécialisé dans l’apprentissage de la langue, de la littérature et de la civilisation française.</w:t>
      </w:r>
    </w:p>
    <w:p>
      <w:pPr/>
      <w:r>
        <w:rPr>
          <w:b w:val="1"/>
          <w:bCs w:val="1"/>
        </w:rPr>
        <w:t xml:space="preserve">PUBLICATIONS :</w:t>
      </w:r>
    </w:p>
    <w:p>
      <w:pPr/>
      <w:r>
        <w:rPr>
          <w:b w:val="1"/>
          <w:bCs w:val="1"/>
        </w:rPr>
        <w:t xml:space="preserve">Ouvrages</w:t>
      </w:r>
      <w:r>
        <w:rPr/>
        <w:t xml:space="preserve">**:**</w:t>
      </w:r>
    </w:p>
    <w:p>
      <w:pPr/>
      <w:r>
        <w:rPr>
          <w:i w:val="1"/>
          <w:iCs w:val="1"/>
        </w:rPr>
        <w:t xml:space="preserve">Видубицький монастир</w:t>
      </w:r>
      <w:r>
        <w:rPr/>
        <w:t xml:space="preserve"> (Le monastère de Vydubyčy), Kiev, éd. Texnika, 1999, 127 p. ;</w:t>
      </w:r>
    </w:p>
    <w:p>
      <w:pPr/>
      <w:r>
        <w:rPr>
          <w:i w:val="1"/>
          <w:iCs w:val="1"/>
        </w:rPr>
        <w:t xml:space="preserve">Кирилівський монастир</w:t>
      </w:r>
      <w:r>
        <w:rPr/>
        <w:t xml:space="preserve"> (Le monastère Saint-Cyrille), Kiev, éd. Texnika, 1999, 136 p. ;</w:t>
      </w:r>
    </w:p>
    <w:p>
      <w:pPr/>
      <w:r>
        <w:rPr>
          <w:i w:val="1"/>
          <w:iCs w:val="1"/>
        </w:rPr>
        <w:t xml:space="preserve">Братський Богоявленський монастир і Києво-Могилянська</w:t>
      </w:r>
      <w:r>
        <w:rPr/>
        <w:t xml:space="preserve"> Академія (</w:t>
      </w:r>
      <w:r>
        <w:rPr>
          <w:i w:val="1"/>
          <w:iCs w:val="1"/>
        </w:rPr>
        <w:t xml:space="preserve">Le monastère de la Confrérie de l’Epiphanie et l’Académie Pierre Mohyla de Kiev)</w:t>
      </w:r>
      <w:r>
        <w:rPr/>
        <w:t xml:space="preserve">, Kiev, éd. Texnika, 2002, 144 p.</w:t>
      </w:r>
    </w:p>
    <w:p>
      <w:pPr/>
      <w:r>
        <w:rPr>
          <w:b w:val="1"/>
          <w:bCs w:val="1"/>
        </w:rPr>
        <w:t xml:space="preserve">Sélection d’articles (revues à comité de lecture):</w:t>
      </w:r>
    </w:p>
    <w:p>
      <w:pPr/>
      <w:r>
        <w:rPr/>
        <w:t xml:space="preserve">« La représentation de l’architecture dans l’oeuvre graphique, picturale et littéraire de Taras Chevtchenko », </w:t>
      </w:r>
      <w:r>
        <w:rPr>
          <w:i w:val="1"/>
          <w:iCs w:val="1"/>
        </w:rPr>
        <w:t xml:space="preserve">Slovo</w:t>
      </w:r>
      <w:r>
        <w:rPr/>
        <w:t xml:space="preserve">, vol. 45-46, « Taras Chevtchenko - Hommage au poète ukrainien à l’occasion du bicentenaire de sa naissance (1814-1861)/sous la direction de Iryna Dmytrychyn », INALCO, Paris, Publications Langues’O, 2015, pages 75-93.</w:t>
      </w:r>
    </w:p>
    <w:p>
      <w:pPr/>
      <w:r>
        <w:rPr/>
        <w:t xml:space="preserve">« Majdan : la place emblématique de Kiev. Histoire, architecture, société », </w:t>
      </w:r>
      <w:r>
        <w:rPr>
          <w:i w:val="1"/>
          <w:iCs w:val="1"/>
        </w:rPr>
        <w:t xml:space="preserve">Revue des études slaves</w:t>
      </w:r>
      <w:r>
        <w:rPr/>
        <w:t xml:space="preserve">, Paris, LXXXV, fasc. 4, 2014, pages 737-752.</w:t>
      </w:r>
    </w:p>
    <w:p>
      <w:pPr/>
      <w:r>
        <w:rPr/>
        <w:t xml:space="preserve">« Аспекти будівельної діяльності Стефана Ковніра » (Nouvelles perspectives sur activité architecturale de Stéphan Kovnir », </w:t>
      </w:r>
      <w:r>
        <w:rPr>
          <w:i w:val="1"/>
          <w:iCs w:val="1"/>
        </w:rPr>
        <w:t xml:space="preserve">Українська академія мистецтва: дослідницько-методичні праці</w:t>
      </w:r>
      <w:r>
        <w:rPr/>
        <w:t xml:space="preserve"> (Académie des Beaux-Arts de l’Ukraine : recherches scientifiques et méthodologiques), 1999, pages 131-136.</w:t>
      </w:r>
    </w:p>
    <w:p>
      <w:pPr/>
      <w:r>
        <w:rPr/>
        <w:t xml:space="preserve">« Київська архітектурна школа українського бароко» (L’école architecturale kievienne du baroque ukrainien), </w:t>
      </w:r>
      <w:r>
        <w:rPr>
          <w:i w:val="1"/>
          <w:iCs w:val="1"/>
        </w:rPr>
        <w:t xml:space="preserve">Архітектурна спадщина України</w:t>
      </w:r>
      <w:r>
        <w:rPr/>
        <w:t xml:space="preserve"> (L’héritage architectural de l’Ukraine), fasc. 2, </w:t>
      </w:r>
      <w:r>
        <w:rPr>
          <w:i w:val="1"/>
          <w:iCs w:val="1"/>
        </w:rPr>
        <w:t xml:space="preserve">Національні особливості народу України</w:t>
      </w:r>
      <w:r>
        <w:rPr/>
        <w:t xml:space="preserve">, dir. M.I. Tymofiênko, 1995, pages 201-206.</w:t>
      </w:r>
    </w:p>
    <w:p>
      <w:pPr/>
      <w:r>
        <w:rPr/>
        <w:t xml:space="preserve">«План з книги А. Кальнофойського « Тератургема » як джерело вивчення історії формування ансамблю Києво-Печерської лаври XI-XVIII ст. » (Le plan du livre d’A. Kal’nofojs’kyj « Teraturgema » comme source d’étude de l’histoire de la formation de l’ensemble architectural de la Laure des Grottes de Kiev XI-XVIII siècles), </w:t>
      </w:r>
      <w:r>
        <w:rPr>
          <w:i w:val="1"/>
          <w:iCs w:val="1"/>
        </w:rPr>
        <w:t xml:space="preserve">НДІТІАМ, Теорія та історія архітектури і містобудування</w:t>
      </w:r>
      <w:r>
        <w:rPr/>
        <w:t xml:space="preserve"> (Théorie et histoire de l’architecture et de </w:t>
      </w:r>
      <w:r>
        <w:rPr>
          <w:i w:val="1"/>
          <w:iCs w:val="1"/>
        </w:rPr>
        <w:t xml:space="preserve">l’urbanisme)</w:t>
      </w:r>
      <w:r>
        <w:rPr/>
        <w:t xml:space="preserve">, Kiev, 1999, pages 126-130.</w:t>
      </w:r>
    </w:p>
    <w:p>
      <w:pPr/>
      <w:r>
        <w:rPr/>
        <w:t xml:space="preserve">«Архітектор і промисловець» (Architecte et industriel) (Ivan Hrygorovyč-Bars’kyj), </w:t>
      </w:r>
      <w:r>
        <w:rPr>
          <w:i w:val="1"/>
          <w:iCs w:val="1"/>
        </w:rPr>
        <w:t xml:space="preserve">Арка</w:t>
      </w:r>
      <w:r>
        <w:rPr/>
        <w:t xml:space="preserve"> (L’Arche), 1994, n° 1-2, pages 42-45.</w:t>
      </w:r>
    </w:p>
    <w:p>
      <w:pPr/>
      <w:r>
        <w:rPr/>
        <w:t xml:space="preserve">«Невідомі факти життя і творчості Івана Григоровича-Барського » (Les faits méconnus de la vie et de l’œuvre d’Ivan Hryhorovyč-Bars’kyj), </w:t>
      </w:r>
      <w:r>
        <w:rPr>
          <w:i w:val="1"/>
          <w:iCs w:val="1"/>
        </w:rPr>
        <w:t xml:space="preserve">Архітектура України</w:t>
      </w:r>
      <w:r>
        <w:rPr/>
        <w:t xml:space="preserve"> (Architecture de l’Ukraine), 1992, n° 3, pages 52-54.</w:t>
      </w:r>
    </w:p>
    <w:p>
      <w:pPr/>
      <w:r>
        <w:rPr/>
        <w:t xml:space="preserve">« Професор Леонтович - засновник української школи реставрації пам’яток архітектури » (Le professeur Leontovyč – fondateur de l’école ukrainienne de la restauration des monuments historiques), </w:t>
      </w:r>
      <w:r>
        <w:rPr>
          <w:i w:val="1"/>
          <w:iCs w:val="1"/>
        </w:rPr>
        <w:t xml:space="preserve">Пам’ятки України : історія і культура</w:t>
      </w:r>
      <w:r>
        <w:rPr/>
        <w:t xml:space="preserve"> (Monuments de l’Ukraine: histoire et culture), 1992, n°10, pages 49-5.</w:t>
      </w:r>
    </w:p>
    <w:p>
      <w:pPr/>
      <w:r>
        <w:rPr/>
        <w:t xml:space="preserve">Nombreux articles encyclopédiques et biographiques pour « Енциклопедія сучасної України» (L’encyclopédie de l’Ukraine moderne), 25 volumes, projet commun de l’Académie des sciences de l’Ukraine et Société Scientifique T. Ševčenko, 2001-2018.</w:t>
      </w:r>
    </w:p>
    <w:p>
      <w:pPr/>
      <w:r>
        <w:rPr>
          <w:b w:val="1"/>
          <w:bCs w:val="1"/>
        </w:rPr>
        <w:t xml:space="preserve">COMMUNICATIONS :</w:t>
      </w:r>
    </w:p>
    <w:p>
      <w:pPr/>
      <w:r>
        <w:rPr/>
        <w:t xml:space="preserve">« Le centenaire de l’Académie Nationale des Arts », intervention au colloque international </w:t>
      </w:r>
      <w:r>
        <w:rPr>
          <w:i w:val="1"/>
          <w:iCs w:val="1"/>
        </w:rPr>
        <w:t xml:space="preserve">Emergence de l’Ukraine,</w:t>
      </w:r>
      <w:r>
        <w:rPr/>
        <w:t xml:space="preserve"> INALCO, le 11 décembre 2017.</w:t>
      </w:r>
    </w:p>
    <w:p>
      <w:pPr/>
      <w:r>
        <w:rPr/>
        <w:t xml:space="preserve">« Art Nouveau architectural à Kiev, une passerelle artistique entre l’Europe occidentale et orientale </w:t>
      </w:r>
      <w:r>
        <w:rPr>
          <w:i w:val="1"/>
          <w:iCs w:val="1"/>
        </w:rPr>
        <w:t xml:space="preserve">»</w:t>
      </w:r>
      <w:r>
        <w:rPr/>
        <w:t xml:space="preserve">, intervention discutée avec l’écrivain Oles Ilchenko autour de l’oeuvre de l’architecte Vladislav Horodetskyi au festival des cultures est-ouest </w:t>
      </w:r>
      <w:r>
        <w:rPr>
          <w:i w:val="1"/>
          <w:iCs w:val="1"/>
        </w:rPr>
        <w:t xml:space="preserve">La week-end à l’est, deuxième édition, Kyïv / Kiev</w:t>
      </w:r>
      <w:r>
        <w:rPr/>
        <w:t xml:space="preserve"> à Paris, Ecole Nationale Supérieure d’Architecture Paris-Malaquais, le 20 novembre 2017.</w:t>
      </w:r>
    </w:p>
    <w:p>
      <w:pPr/>
      <w:r>
        <w:rPr/>
        <w:t xml:space="preserve">« La vie artistique en Ukraine après la Revolution 1917 », intervention au colloque international </w:t>
      </w:r>
      <w:r>
        <w:rPr>
          <w:i w:val="1"/>
          <w:iCs w:val="1"/>
        </w:rPr>
        <w:t xml:space="preserve">Revolutions de 1917 : Le chantier d’une nouvelle culture?</w:t>
      </w:r>
      <w:r>
        <w:rPr/>
        <w:t xml:space="preserve">, Université de Caen-Normandie, 25 et 26 septembre 2017.</w:t>
      </w:r>
    </w:p>
    <w:p>
      <w:pPr/>
      <w:r>
        <w:rPr/>
        <w:t xml:space="preserve">« Les motifs architecturaux dans l’œuvre graphique, picturale et poétique de Taras Ševčenko comme sources historiques », intervention à la Journée d’études : </w:t>
      </w:r>
      <w:r>
        <w:rPr>
          <w:i w:val="1"/>
          <w:iCs w:val="1"/>
        </w:rPr>
        <w:t xml:space="preserve">« … et je sème le verbe », Hommage à Taras Ševčenko pour le bicentenaire de sa naissance »</w:t>
      </w:r>
      <w:r>
        <w:rPr/>
        <w:t xml:space="preserve">, INALCO, le 10 mars 2014.</w:t>
      </w:r>
    </w:p>
    <w:p>
      <w:pPr/>
      <w:r>
        <w:rPr/>
        <w:t xml:space="preserve">« L’architecture de l’avenue Xreščatyk à Kiev : aux sources du projet »</w:t>
      </w:r>
      <w:r>
        <w:rPr>
          <w:i w:val="1"/>
          <w:iCs w:val="1"/>
        </w:rPr>
        <w:t xml:space="preserve">,</w:t>
      </w:r>
      <w:r>
        <w:rPr/>
        <w:t xml:space="preserve"> exposé dans la Journée doctorale du CRECOB </w:t>
      </w:r>
      <w:r>
        <w:rPr>
          <w:i w:val="1"/>
          <w:iCs w:val="1"/>
        </w:rPr>
        <w:t xml:space="preserve">Formalisme esthétique en Europe centrale aux XIX**e</w:t>
      </w:r>
      <w:r>
        <w:rPr/>
        <w:t xml:space="preserve"> </w:t>
      </w:r>
      <w:r>
        <w:rPr>
          <w:i w:val="1"/>
          <w:iCs w:val="1"/>
        </w:rPr>
        <w:t xml:space="preserve">et XX**e</w:t>
      </w:r>
      <w:r>
        <w:rPr/>
        <w:t xml:space="preserve"> </w:t>
      </w:r>
      <w:r>
        <w:rPr>
          <w:i w:val="1"/>
          <w:iCs w:val="1"/>
        </w:rPr>
        <w:t xml:space="preserve">siècles</w:t>
      </w:r>
      <w:r>
        <w:rPr/>
        <w:t xml:space="preserve">, Université Paris-Sorbonne, le 19 avril 2011.</w:t>
      </w:r>
    </w:p>
    <w:p>
      <w:pPr/>
      <w:r>
        <w:rPr/>
        <w:t xml:space="preserve">« L’ensemble architectural de l’avenue Xreščatyk à Kiev: en quête de l’identité nationale », conférence à l’Association française des études ukrainiennes (AFEU), le 27 novembre 2009.</w:t>
      </w:r>
    </w:p>
    <w:p>
      <w:pPr/>
      <w:r>
        <w:rPr>
          <w:b w:val="1"/>
          <w:bCs w:val="1"/>
        </w:rPr>
        <w:t xml:space="preserve">LANGUES :</w:t>
      </w:r>
    </w:p>
    <w:p>
      <w:pPr/>
      <w:r>
        <w:rPr>
          <w:b w:val="1"/>
          <w:bCs w:val="1"/>
        </w:rPr>
        <w:t xml:space="preserve">Ukrainien / Russe</w:t>
      </w:r>
      <w:r>
        <w:rPr/>
        <w:t xml:space="preserve">: langues maternelles</w:t>
      </w:r>
    </w:p>
    <w:p>
      <w:pPr/>
      <w:r>
        <w:rPr>
          <w:b w:val="1"/>
          <w:bCs w:val="1"/>
        </w:rPr>
        <w:t xml:space="preserve">Français</w:t>
      </w:r>
      <w:r>
        <w:rPr/>
        <w:t xml:space="preserve"> : niveau bilingue</w:t>
      </w:r>
    </w:p>
    <w:p>
      <w:pPr/>
      <w:r>
        <w:rPr>
          <w:b w:val="1"/>
          <w:bCs w:val="1"/>
        </w:rPr>
        <w:t xml:space="preserve">Italien</w:t>
      </w:r>
      <w:r>
        <w:rPr/>
        <w:t xml:space="preserve"> : bon niveau</w:t>
      </w:r>
    </w:p>
    <w:p>
      <w:pPr/>
      <w:r>
        <w:rPr>
          <w:b w:val="1"/>
          <w:bCs w:val="1"/>
        </w:rPr>
        <w:t xml:space="preserve">Anglais</w:t>
      </w:r>
      <w:r>
        <w:rPr/>
        <w:t xml:space="preserve"> : notions</w:t>
      </w:r>
    </w:p>
    <w:p>
      <w:pPr/>
      <w:r>
        <w:rPr>
          <w:b w:val="1"/>
          <w:bCs w:val="1"/>
        </w:rPr>
        <w:t xml:space="preserve">AUTRE</w:t>
      </w:r>
      <w:r>
        <w:rPr>
          <w:b w:val="1"/>
          <w:bCs w:val="1"/>
        </w:rPr>
        <w:t xml:space="preserve">:</w:t>
      </w:r>
      <w:r>
        <w:rPr/>
        <w:t xml:space="preserve"> Membre de l’Association Française des Etudes Ukrainiennes (AFEU).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LOZKINA Aliza, 2020, Une révolution permanente : l’art ukrainien contemporain et ses racines 1880-2020</w:t>
              </w:r>
            </w:hyperlink>
          </w:p>
          <w:p>
            <w:pPr/>
            <w:hyperlink r:id="rId10" w:history="1">
              <w:r>
                <w:rPr>
                  <w:color w:val="#410a8c"/>
                  <w:u w:val="single"/>
                </w:rPr>
                <w:t xml:space="preserve">Tetyana Kilesso</w:t>
              </w:r>
            </w:hyperlink>
          </w:p>
          <w:p>
            <w:pPr/>
            <w:r>
              <w:rPr>
                <w:i w:val="1"/>
                <w:iCs w:val="1"/>
              </w:rPr>
              <w:t xml:space="preserve">Slovo</w:t>
            </w:r>
            <w:r>
              <w:rPr/>
              <w:t xml:space="preserve">, 2022, Langues en mouvement : changements linguistiques dans l’espace postcommuniste au tournant du XXIe siècle, 52, pp.349-351. </w:t>
            </w:r>
            <w:hyperlink r:id="rId11" w:history="1">
              <w:r>
                <w:rPr>
                  <w:color w:val="#410a8c"/>
                  <w:u w:val="single"/>
                </w:rPr>
                <w:t xml:space="preserve">⟨10.46298/slovo.2022.9682⟩</w:t>
              </w:r>
            </w:hyperlink>
          </w:p>
          <w:p>
            <w:pPr/>
            <w:r>
              <w:rPr/>
              <w:t xml:space="preserve">Article dans une revue</w:t>
            </w:r>
            <w:r>
              <w:rPr/>
              <w:t xml:space="preserve"> (compte-rendu de lecture)</w:t>
            </w:r>
          </w:p>
          <w:p>
            <w:pPr/>
            <w:hyperlink r:id="rId9" w:history="1">
              <w:r>
                <w:rPr>
                  <w:color w:val="#410a8c"/>
                  <w:u w:val="single"/>
                </w:rPr>
                <w:t xml:space="preserve">hal-03686288v1</w:t>
              </w:r>
            </w:hyperlink>
          </w:p>
        </w:tc>
      </w:tr>
      <w:tr>
        <w:trPr/>
        <w:tc>
          <w:tcPr>
            <w:noWrap/>
          </w:tcPr>
          <w:p>
            <w:pPr>
              <w:spacing w:after="200"/>
            </w:pPr>
            <w:hyperlink r:id="rId12" w:history="1">
              <w:r>
                <w:rPr>
                  <w:color w:val="1e198e"/>
                  <w:b w:val="1"/>
                  <w:bCs w:val="1"/>
                  <w:u w:val="single"/>
                </w:rPr>
                <w:t xml:space="preserve">Majdan: la place emblématique de Kiev. Histoire, architecture, société</w:t>
              </w:r>
            </w:hyperlink>
          </w:p>
          <w:p>
            <w:pPr/>
            <w:hyperlink r:id="rId10" w:history="1">
              <w:r>
                <w:rPr>
                  <w:color w:val="#410a8c"/>
                  <w:u w:val="single"/>
                </w:rPr>
                <w:t xml:space="preserve">Tetyana Kilesso</w:t>
              </w:r>
            </w:hyperlink>
          </w:p>
          <w:p>
            <w:pPr/>
            <w:r>
              <w:rPr>
                <w:i w:val="1"/>
                <w:iCs w:val="1"/>
              </w:rPr>
              <w:t xml:space="preserve">Revue des études slaves</w:t>
            </w:r>
            <w:r>
              <w:rPr/>
              <w:t xml:space="preserve">, 2015, Pensée et culture en Pologne XXè et XXIè siècles, 85 (fascicule 4), pp.737-752</w:t>
            </w:r>
          </w:p>
          <w:p>
            <w:pPr/>
            <w:r>
              <w:rPr/>
              <w:t xml:space="preserve">Article dans une revue</w:t>
            </w:r>
          </w:p>
          <w:p>
            <w:pPr/>
            <w:hyperlink r:id="rId12" w:history="1">
              <w:r>
                <w:rPr>
                  <w:color w:val="#410a8c"/>
                  <w:u w:val="single"/>
                </w:rPr>
                <w:t xml:space="preserve">hal-01386297v2</w:t>
              </w:r>
            </w:hyperlink>
          </w:p>
        </w:tc>
      </w:tr>
      <w:tr>
        <w:trPr/>
        <w:tc>
          <w:tcPr>
            <w:noWrap/>
          </w:tcPr>
          <w:p>
            <w:pPr>
              <w:spacing w:after="200"/>
            </w:pPr>
            <w:hyperlink r:id="rId13" w:history="1">
              <w:r>
                <w:rPr>
                  <w:color w:val="1e198e"/>
                  <w:b w:val="1"/>
                  <w:bCs w:val="1"/>
                  <w:u w:val="single"/>
                </w:rPr>
                <w:t xml:space="preserve">La représentation de l'architecture dans l'oeuvre graphique, picturale et littéraire de Taras Chevtchenko</w:t>
              </w:r>
            </w:hyperlink>
          </w:p>
          <w:p>
            <w:pPr/>
            <w:hyperlink r:id="rId10" w:history="1">
              <w:r>
                <w:rPr>
                  <w:color w:val="#410a8c"/>
                  <w:u w:val="single"/>
                </w:rPr>
                <w:t xml:space="preserve">Tetyana Kilesso</w:t>
              </w:r>
            </w:hyperlink>
          </w:p>
          <w:p>
            <w:pPr/>
            <w:r>
              <w:rPr>
                <w:i w:val="1"/>
                <w:iCs w:val="1"/>
              </w:rPr>
              <w:t xml:space="preserve">Slovo</w:t>
            </w:r>
            <w:r>
              <w:rPr/>
              <w:t xml:space="preserve">, 2015, Taras Chevtchenko hommage au poète ukrainien à l'occasion du bicentenaire de sa naissance, 45-46, pp.75-93</w:t>
            </w:r>
          </w:p>
          <w:p>
            <w:pPr/>
            <w:r>
              <w:rPr/>
              <w:t xml:space="preserve">Article dans une revue</w:t>
            </w:r>
          </w:p>
          <w:p>
            <w:pPr/>
            <w:hyperlink r:id="rId13" w:history="1">
              <w:r>
                <w:rPr>
                  <w:color w:val="#410a8c"/>
                  <w:u w:val="single"/>
                </w:rPr>
                <w:t xml:space="preserve">hal-01419781v2</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5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tetyana.kilesso@gmail.com" TargetMode="External"/><Relationship Id="rId9" Type="http://schemas.openxmlformats.org/officeDocument/2006/relationships/hyperlink" Target="https://hal.science/hal-03686288v1" TargetMode="External"/><Relationship Id="rId10" Type="http://schemas.openxmlformats.org/officeDocument/2006/relationships/hyperlink" Target="https://hal.science/search/index/?q=*&amp;authFullName_s=Tetyana Kilesso" TargetMode="External"/><Relationship Id="rId11" Type="http://schemas.openxmlformats.org/officeDocument/2006/relationships/hyperlink" Target="https://dx.doi.org/10.46298/slovo.2022.9682" TargetMode="External"/><Relationship Id="rId12" Type="http://schemas.openxmlformats.org/officeDocument/2006/relationships/hyperlink" Target="https://hal.science/hal-01386297v2" TargetMode="External"/><Relationship Id="rId13" Type="http://schemas.openxmlformats.org/officeDocument/2006/relationships/hyperlink" Target="https://hal.science/hal-01419781v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Tetyana KILESSO</dc:title>
  <dc:description>CV</dc:description>
  <dc:subject/>
  <cp:keywords/>
  <cp:category/>
  <cp:lastModifiedBy/>
  <dcterms:created xsi:type="dcterms:W3CDTF">2026-05-11T12:45:00+02:00</dcterms:created>
  <dcterms:modified xsi:type="dcterms:W3CDTF">2026-05-11T12:45:00+02:00</dcterms:modified>
</cp:coreProperties>
</file>

<file path=docProps/custom.xml><?xml version="1.0" encoding="utf-8"?>
<Properties xmlns="http://schemas.openxmlformats.org/officeDocument/2006/custom-properties" xmlns:vt="http://schemas.openxmlformats.org/officeDocument/2006/docPropsVTypes"/>
</file>