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Champas </w:t>
      </w:r>
      <w:r>
        <w:rPr>
          <w:color w:val="641e6e"/>
        </w:rPr>
        <w:t xml:space="preserve">Doctorant en géographie du logement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géographie depuis novembre 2025 : &amp;quot;La construction des besoins en logements en France : trajectoires territorialisées d’évolution du parc résidentiel à l’aune des impératifs écologiques et des marchés de l’habitat&amp;quot;</w:t>
      </w:r>
    </w:p>
    <w:p>
      <w:pPr/>
      <w:r>
        <w:rPr/>
        <w:t xml:space="preserve">Hébergé au Centre Scientifique et Technique du Bâtiment (CSTB), au sein de la Direction Economie et Ressources (DER)</w:t>
      </w:r>
    </w:p>
    <w:p>
      <w:pPr/>
      <w:r>
        <w:rPr/>
        <w:t xml:space="preserve">Avignon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Champas</dc:title>
  <dc:description>CV</dc:description>
  <dc:subject/>
  <cp:keywords/>
  <cp:category/>
  <cp:lastModifiedBy/>
  <dcterms:created xsi:type="dcterms:W3CDTF">2026-04-04T18:59:26+02:00</dcterms:created>
  <dcterms:modified xsi:type="dcterms:W3CDTF">2026-04-04T18:59:26+02:00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