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Fauvinet-Ranson </w:t>
      </w:r>
      <w:r>
        <w:rPr>
          <w:color w:val="641e6e"/>
        </w:rPr>
        <w:t xml:space="preserve">Maître de conférences en langue et littérature latines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valeriefauvinet-ranson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076527743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Bibliographie</w:t>
      </w:r>
    </w:p>
    <w:p>
      <w:pPr>
        <w:pStyle w:val="Heading4"/>
      </w:pPr>
    </w:p>
    <w:p>
      <w:pPr>
        <w:pStyle w:val="Heading4"/>
      </w:pPr>
      <w:r>
        <w:rPr/>
        <w:t xml:space="preserve">Ouvrage paru :</w:t>
      </w:r>
    </w:p>
    <w:p>
      <w:pPr/>
      <w:r>
        <w:rPr/>
        <w:t xml:space="preserve">V. Fauvinet-Ranson, « </w:t>
      </w:r>
      <w:r>
        <w:rPr>
          <w:i w:val="1"/>
          <w:iCs w:val="1"/>
        </w:rPr>
        <w:t xml:space="preserve">Decor ciuitatis, decor Italiae ». Monuments, travaux publics et spectacles au VIe siècle d’après les</w:t>
      </w:r>
      <w:r>
        <w:rPr/>
        <w:t xml:space="preserve"> Variae </w:t>
      </w:r>
      <w:r>
        <w:rPr>
          <w:i w:val="1"/>
          <w:iCs w:val="1"/>
        </w:rPr>
        <w:t xml:space="preserve">de Cassiodore</w:t>
      </w:r>
      <w:r>
        <w:rPr/>
        <w:t xml:space="preserve">, Edipuglia, collection Munera, 23, Bari 2006, 525 p.</w:t>
      </w:r>
    </w:p>
    <w:p>
      <w:pPr/>
      <w:r>
        <w:rPr/>
        <w:t xml:space="preserve">Compte-rendus dans </w:t>
      </w:r>
      <w:r>
        <w:rPr>
          <w:i w:val="1"/>
          <w:iCs w:val="1"/>
        </w:rPr>
        <w:t xml:space="preserve">Pyrenae</w:t>
      </w:r>
      <w:r>
        <w:rPr/>
        <w:t xml:space="preserve"> (J. A. Jiménez Sánchez) ; </w:t>
      </w:r>
      <w:r>
        <w:rPr>
          <w:i w:val="1"/>
          <w:iCs w:val="1"/>
        </w:rPr>
        <w:t xml:space="preserve">Antiquité Tardive</w:t>
      </w:r>
      <w:r>
        <w:rPr/>
        <w:t xml:space="preserve"> (G. P. Brogiolo) ; </w:t>
      </w:r>
      <w:r>
        <w:rPr>
          <w:i w:val="1"/>
          <w:iCs w:val="1"/>
        </w:rPr>
        <w:t xml:space="preserve">Bollettino di Studi Latini</w:t>
      </w:r>
      <w:r>
        <w:rPr/>
        <w:t xml:space="preserve"> (C. Majani) ; </w:t>
      </w:r>
      <w:r>
        <w:rPr>
          <w:i w:val="1"/>
          <w:iCs w:val="1"/>
        </w:rPr>
        <w:t xml:space="preserve">Revue d’Etudes augustiniennes</w:t>
      </w:r>
      <w:r>
        <w:rPr/>
        <w:t xml:space="preserve"> (J. Dubouloz) ; </w:t>
      </w:r>
      <w:r>
        <w:rPr>
          <w:i w:val="1"/>
          <w:iCs w:val="1"/>
        </w:rPr>
        <w:t xml:space="preserve">Critique</w:t>
      </w:r>
      <w:r>
        <w:rPr/>
        <w:t xml:space="preserve"> (M. Lebiez) ; </w:t>
      </w:r>
      <w:r>
        <w:rPr>
          <w:i w:val="1"/>
          <w:iCs w:val="1"/>
        </w:rPr>
        <w:t xml:space="preserve">Revue des Etudes Latines</w:t>
      </w:r>
      <w:r>
        <w:rPr/>
        <w:t xml:space="preserve"> (S. Ratti)</w:t>
      </w:r>
    </w:p>
    <w:p>
      <w:pPr>
        <w:pStyle w:val="Heading4"/>
      </w:pPr>
      <w:r>
        <w:rPr/>
        <w:t xml:space="preserve">Articles parus :</w:t>
      </w:r>
    </w:p>
    <w:p>
      <w:pPr>
        <w:numPr>
          <w:ilvl w:val="0"/>
          <w:numId w:val="2"/>
        </w:numPr>
      </w:pPr>
      <w:r>
        <w:rPr/>
        <w:t xml:space="preserve">1998 : « Portrait d’une régente, un éloge de la reine Amalasonthe (Cassiodore, </w:t>
      </w:r>
      <w:r>
        <w:rPr>
          <w:i w:val="1"/>
          <w:iCs w:val="1"/>
        </w:rPr>
        <w:t xml:space="preserve">Variae</w:t>
      </w:r>
      <w:r>
        <w:rPr/>
        <w:t xml:space="preserve"> XI, 1) », </w:t>
      </w:r>
      <w:r>
        <w:rPr>
          <w:i w:val="1"/>
          <w:iCs w:val="1"/>
        </w:rPr>
        <w:t xml:space="preserve">Cassiodorus, Rivista di studi sulla tarda Antichità</w:t>
      </w:r>
      <w:r>
        <w:rPr/>
        <w:t xml:space="preserve">, IV, Soveria Mannelli, p. 267-308. En ligne à l’adresse : </w:t>
      </w:r>
      <w:hyperlink r:id="rId10" w:history="1">
        <w:r>
          <w:rPr>
            <w:color w:val="#410a8c"/>
            <w:u w:val="single"/>
          </w:rPr>
          <w:t xml:space="preserve">https://hal-univ-paris10.archives-ouvertes.fr/hal-01961277</w:t>
        </w:r>
      </w:hyperlink>
    </w:p>
    <w:p>
      <w:pPr>
        <w:numPr>
          <w:ilvl w:val="0"/>
          <w:numId w:val="2"/>
        </w:numPr>
      </w:pPr>
      <w:r>
        <w:rPr/>
        <w:t xml:space="preserve">2000 : « Une restauration symbolique de Théodoric: le théâtre de Pompée (Cassiodore, </w:t>
      </w:r>
      <w:r>
        <w:rPr>
          <w:i w:val="1"/>
          <w:iCs w:val="1"/>
        </w:rPr>
        <w:t xml:space="preserve">Variae</w:t>
      </w:r>
      <w:r>
        <w:rPr/>
        <w:t xml:space="preserve"> IV, 51) », </w:t>
      </w:r>
      <w:r>
        <w:rPr>
          <w:i w:val="1"/>
          <w:iCs w:val="1"/>
        </w:rPr>
        <w:t xml:space="preserve">La mémoire de l’Antiquité: recueil de communications présentées de 1996 à 1998,</w:t>
      </w:r>
      <w:r>
        <w:rPr/>
        <w:t xml:space="preserve"> Centre de recherches sur l’Antiquité tardive et le haut Moyen Age de Paris X, Cahier VIII, Picard diffusion, Nanterre, p. 37-54</w:t>
      </w:r>
    </w:p>
    <w:p>
      <w:pPr>
        <w:numPr>
          <w:ilvl w:val="0"/>
          <w:numId w:val="2"/>
        </w:numPr>
      </w:pPr>
      <w:r>
        <w:rPr/>
        <w:t xml:space="preserve">2002 : « Les valeurs idéologiques de la parure monumentale des cités en Italie chez Cassiodore », in H. Inglebert (éd.), </w:t>
      </w:r>
      <w:r>
        <w:rPr>
          <w:i w:val="1"/>
          <w:iCs w:val="1"/>
        </w:rPr>
        <w:t xml:space="preserve">Idéologie et valeurs civiques dans le monde romain. Hommage à Claude Lepelley</w:t>
      </w:r>
      <w:r>
        <w:rPr/>
        <w:t xml:space="preserve">, Paris, p. 231-240</w:t>
      </w:r>
    </w:p>
    <w:p>
      <w:pPr>
        <w:numPr>
          <w:ilvl w:val="0"/>
          <w:numId w:val="2"/>
        </w:numPr>
      </w:pPr>
      <w:r>
        <w:rPr/>
        <w:t xml:space="preserve">2006 : « Le devenir du patrimoine monumental romain des cités d’Italie à l’époque ostrogothique », in M. Ghilardi, C. Goddard et P. Porena (éd.), </w:t>
      </w:r>
      <w:r>
        <w:rPr>
          <w:i w:val="1"/>
          <w:iCs w:val="1"/>
        </w:rPr>
        <w:t xml:space="preserve">Les cités de l’Italie tardo-antique (IVe-VIe siècle). Institutions, économie, société, culture et religion</w:t>
      </w:r>
      <w:r>
        <w:rPr/>
        <w:t xml:space="preserve">, Collection de l’Ecole Française de Rome 369, Rome, p. 205-216</w:t>
      </w:r>
    </w:p>
    <w:p>
      <w:pPr>
        <w:numPr>
          <w:ilvl w:val="0"/>
          <w:numId w:val="2"/>
        </w:numPr>
      </w:pPr>
      <w:r>
        <w:rPr/>
        <w:t xml:space="preserve">2008a : « Les spectacles traditionnels dans l’Italie ostrogothique : l’attitude de Cassiodore et de Théodoric d’après les </w:t>
      </w:r>
      <w:r>
        <w:rPr>
          <w:i w:val="1"/>
          <w:iCs w:val="1"/>
        </w:rPr>
        <w:t xml:space="preserve">Variae</w:t>
      </w:r>
      <w:r>
        <w:rPr/>
        <w:t xml:space="preserve"> », in F. Thélamon et E. Soler (éd.), </w:t>
      </w:r>
      <w:r>
        <w:rPr>
          <w:i w:val="1"/>
          <w:iCs w:val="1"/>
        </w:rPr>
        <w:t xml:space="preserve">Les jeux et les spectacles dans l’Empire romain tardif et dans les royaumes barbares</w:t>
      </w:r>
      <w:r>
        <w:rPr/>
        <w:t xml:space="preserve">, Publications des universités de Rouen et du Havre, Cahiers du GRHIS, n° 19, Rouen, p. 143-160</w:t>
      </w:r>
    </w:p>
    <w:p>
      <w:pPr>
        <w:numPr>
          <w:ilvl w:val="0"/>
          <w:numId w:val="2"/>
        </w:numPr>
      </w:pPr>
      <w:r>
        <w:rPr/>
        <w:t xml:space="preserve">2008b : « Cassiodore et le souvenir des dieux », in C. Sotinel et M. Sartre (éd.), </w:t>
      </w:r>
      <w:r>
        <w:rPr>
          <w:i w:val="1"/>
          <w:iCs w:val="1"/>
        </w:rPr>
        <w:t xml:space="preserve">L’usage du passé entre Antiquité tardive et Haut Moyen Age. Hommage à Brigitte Beaujard</w:t>
      </w:r>
      <w:r>
        <w:rPr/>
        <w:t xml:space="preserve">, Presses Universitaires de Rennes, Rennes, p. 47-58</w:t>
      </w:r>
    </w:p>
    <w:p>
      <w:pPr>
        <w:numPr>
          <w:ilvl w:val="0"/>
          <w:numId w:val="2"/>
        </w:numPr>
      </w:pPr>
      <w:r>
        <w:rPr/>
        <w:t xml:space="preserve">2010 : « Une réponse de Cassiodore à la </w:t>
      </w:r>
      <w:r>
        <w:rPr>
          <w:i w:val="1"/>
          <w:iCs w:val="1"/>
        </w:rPr>
        <w:t xml:space="preserve">Consolation de Philosophie</w:t>
      </w:r>
      <w:r>
        <w:rPr/>
        <w:t xml:space="preserve"> ? (</w:t>
      </w:r>
      <w:r>
        <w:rPr>
          <w:i w:val="1"/>
          <w:iCs w:val="1"/>
        </w:rPr>
        <w:t xml:space="preserve">Variae</w:t>
      </w:r>
      <w:r>
        <w:rPr/>
        <w:t xml:space="preserve"> I, 5) », </w:t>
      </w:r>
      <w:r>
        <w:rPr>
          <w:i w:val="1"/>
          <w:iCs w:val="1"/>
        </w:rPr>
        <w:t xml:space="preserve">Revue d’Etudes Augustiniennes</w:t>
      </w:r>
      <w:r>
        <w:rPr/>
        <w:t xml:space="preserve">, vol. 55, fasc. 2 (2009), p. 247-264</w:t>
      </w:r>
    </w:p>
    <w:p>
      <w:pPr>
        <w:numPr>
          <w:ilvl w:val="0"/>
          <w:numId w:val="2"/>
        </w:numPr>
      </w:pPr>
      <w:r>
        <w:rPr/>
        <w:t xml:space="preserve">2011 : « L' </w:t>
      </w:r>
      <w:r>
        <w:rPr>
          <w:i w:val="1"/>
          <w:iCs w:val="1"/>
        </w:rPr>
        <w:t xml:space="preserve">editio princeps</w:t>
      </w:r>
      <w:r>
        <w:rPr/>
        <w:t xml:space="preserve"> des </w:t>
      </w:r>
      <w:r>
        <w:rPr>
          <w:i w:val="1"/>
          <w:iCs w:val="1"/>
        </w:rPr>
        <w:t xml:space="preserve">Variae</w:t>
      </w:r>
      <w:r>
        <w:rPr/>
        <w:t xml:space="preserve"> de Cassiodore par M. Accursius et le manuscrit 211 de Valence (Espagne) », </w:t>
      </w:r>
      <w:r>
        <w:rPr>
          <w:i w:val="1"/>
          <w:iCs w:val="1"/>
        </w:rPr>
        <w:t xml:space="preserve">Scriptorium</w:t>
      </w:r>
      <w:r>
        <w:rPr/>
        <w:t xml:space="preserve">, LXIV-1, p. 137-157</w:t>
      </w:r>
    </w:p>
    <w:p>
      <w:pPr>
        <w:numPr>
          <w:ilvl w:val="0"/>
          <w:numId w:val="2"/>
        </w:numPr>
      </w:pPr>
      <w:r>
        <w:rPr/>
        <w:t xml:space="preserve">2012 : « Le paysage urbain de Rome chez Cassiodore : une christianisation passée sous silence », in C. Witschel et R. Behrwald (éd.), </w:t>
      </w:r>
      <w:r>
        <w:rPr>
          <w:i w:val="1"/>
          <w:iCs w:val="1"/>
        </w:rPr>
        <w:t xml:space="preserve">Rom in der Spätantike.</w:t>
      </w:r>
      <w:r>
        <w:rPr/>
        <w:t xml:space="preserve"> </w:t>
      </w:r>
      <w:r>
        <w:rPr>
          <w:i w:val="1"/>
          <w:iCs w:val="1"/>
        </w:rPr>
        <w:t xml:space="preserve">Historische Erinnerung im städtischen Raum</w:t>
      </w:r>
      <w:r>
        <w:rPr/>
        <w:t xml:space="preserve">, Stuttgart, Habes 51, </w:t>
      </w:r>
      <w:r>
        <w:rPr>
          <w:i w:val="1"/>
          <w:iCs w:val="1"/>
        </w:rPr>
        <w:t xml:space="preserve">(Heidelberger Althistorische Beiträge und Epigraphische Studien</w:t>
      </w:r>
      <w:r>
        <w:rPr/>
        <w:t xml:space="preserve">), p. 139-151</w:t>
      </w:r>
    </w:p>
    <w:p>
      <w:pPr>
        <w:numPr>
          <w:ilvl w:val="0"/>
          <w:numId w:val="2"/>
        </w:numPr>
      </w:pPr>
      <w:r>
        <w:rPr/>
        <w:t xml:space="preserve">2013 : « L'éloge du lac de Côme par Cassiodore (</w:t>
      </w:r>
      <w:r>
        <w:rPr>
          <w:i w:val="1"/>
          <w:iCs w:val="1"/>
        </w:rPr>
        <w:t xml:space="preserve">Variae</w:t>
      </w:r>
      <w:r>
        <w:rPr/>
        <w:t xml:space="preserve"> XI, 14): lieux communs, réécriture, échos littéraires (Pline, Ammien Marcellin, Faustus Niger, Ennode de Pavie) » in </w:t>
      </w:r>
      <w:r>
        <w:rPr>
          <w:i w:val="1"/>
          <w:iCs w:val="1"/>
        </w:rPr>
        <w:t xml:space="preserve">Revue des Etudes tardoantiques</w:t>
      </w:r>
      <w:r>
        <w:rPr/>
        <w:t xml:space="preserve">, 2 (2012-2013), p. 141-173, en ligne</w:t>
      </w:r>
    </w:p>
    <w:p>
      <w:pPr>
        <w:numPr>
          <w:ilvl w:val="0"/>
          <w:numId w:val="2"/>
        </w:numPr>
      </w:pPr>
      <w:r>
        <w:rPr/>
        <w:t xml:space="preserve">2016 : « La réception variée des </w:t>
      </w:r>
      <w:r>
        <w:rPr>
          <w:i w:val="1"/>
          <w:iCs w:val="1"/>
        </w:rPr>
        <w:t xml:space="preserve">Variae</w:t>
      </w:r>
      <w:r>
        <w:rPr/>
        <w:t xml:space="preserve"> de Cassiodore au Moyen Age », in J.‑B. Amadieu, J.‑M. Joubert, F. Ploton‑Nicollet et M. Vartejanu-Joubert (éd.), </w:t>
      </w:r>
      <w:r>
        <w:rPr>
          <w:i w:val="1"/>
          <w:iCs w:val="1"/>
        </w:rPr>
        <w:t xml:space="preserve">Les sources au cœur de l’épistémologie historique et littéraire</w:t>
      </w:r>
      <w:r>
        <w:rPr/>
        <w:t xml:space="preserve">, aux Presses de l’École des Chartes, Paris, p. 35-47</w:t>
      </w:r>
    </w:p>
    <w:p>
      <w:pPr>
        <w:numPr>
          <w:ilvl w:val="0"/>
          <w:numId w:val="2"/>
        </w:numPr>
      </w:pPr>
      <w:r>
        <w:rPr/>
        <w:t xml:space="preserve">2018a : « Reines et princesses du royaume ostrogothique d’Italie (VIe s.) », in F. Chausson et S. Destephen (éd.), </w:t>
      </w:r>
      <w:r>
        <w:rPr>
          <w:i w:val="1"/>
          <w:iCs w:val="1"/>
        </w:rPr>
        <w:t xml:space="preserve">Augusta, regina, basilissa. La souveraine, de l’Empire romain au Moyen Age. Entre héritage et métamorphoses</w:t>
      </w:r>
      <w:r>
        <w:rPr/>
        <w:t xml:space="preserve">, Paris, De Boccard, p. 21-40</w:t>
      </w:r>
    </w:p>
    <w:p>
      <w:pPr>
        <w:numPr>
          <w:ilvl w:val="0"/>
          <w:numId w:val="2"/>
        </w:numPr>
      </w:pPr>
      <w:r>
        <w:rPr/>
        <w:t xml:space="preserve">2018b : « Comment le prince se proclame-t-il chrétien dans l'Italie ostrogothique ? », in B. Dumézil, S. Destephen et H. Inglebert (éd.), </w:t>
      </w:r>
      <w:r>
        <w:rPr>
          <w:i w:val="1"/>
          <w:iCs w:val="1"/>
        </w:rPr>
        <w:t xml:space="preserve">Le prince chrétien de Constantin aux royautés barbares (IVe-VIIIe s.)</w:t>
      </w:r>
      <w:r>
        <w:rPr/>
        <w:t xml:space="preserve">, Paris, (Collège de France – Institut d’études byzantines : Travaux et mémoires, 22/2), p. 341-355</w:t>
      </w:r>
    </w:p>
    <w:p>
      <w:pPr>
        <w:numPr>
          <w:ilvl w:val="0"/>
          <w:numId w:val="2"/>
        </w:numPr>
      </w:pPr>
      <w:r>
        <w:rPr/>
        <w:t xml:space="preserve">2019 : « Capitales et résidences du roi Théodoric à l’orée du VIe s. », in S. Destephen, J. Barbier et F. Chausson (dir.), </w:t>
      </w:r>
      <w:r>
        <w:rPr>
          <w:i w:val="1"/>
          <w:iCs w:val="1"/>
        </w:rPr>
        <w:t xml:space="preserve">Le gouvernement en déplacement. Pouvoir et mobilité de l'Antiquité à nos jours</w:t>
      </w:r>
      <w:r>
        <w:rPr/>
        <w:t xml:space="preserve">, Presses Universitaires de Rennes, p. 173-188</w:t>
      </w:r>
    </w:p>
    <w:p>
      <w:pPr>
        <w:numPr>
          <w:ilvl w:val="0"/>
          <w:numId w:val="2"/>
        </w:numPr>
      </w:pPr>
      <w:r>
        <w:rPr/>
        <w:t xml:space="preserve">2021 : « Échanges entre les royaumes ostrogothique et vandale », in X. Dupuis, V. Fauvinet-Ranson, C. Goddard et H. Inglebert (dir.), </w:t>
      </w:r>
      <w:r>
        <w:rPr>
          <w:i w:val="1"/>
          <w:iCs w:val="1"/>
        </w:rPr>
        <w:t xml:space="preserve">L’automne de l’Afrique romaine. Hommages à Claude Lepelley</w:t>
      </w:r>
      <w:r>
        <w:rPr/>
        <w:t xml:space="preserve">, Paris, Hermann, 2021, p. 89-105</w:t>
      </w:r>
    </w:p>
    <w:p>
      <w:pPr>
        <w:numPr>
          <w:ilvl w:val="0"/>
          <w:numId w:val="2"/>
        </w:numPr>
      </w:pPr>
      <w:r>
        <w:rPr/>
        <w:t xml:space="preserve">2021 : &amp;quot;Avant-propos&amp;quot; et &amp;quot;conclusion&amp;quot;, in V. Fauvinet-Ranson (éd.), </w:t>
      </w:r>
      <w:r>
        <w:rPr>
          <w:i w:val="1"/>
          <w:iCs w:val="1"/>
        </w:rPr>
        <w:t xml:space="preserve">Cassiodore et l’Italie ostrogothique : regards croisés sur les sources, RET,</w:t>
      </w:r>
      <w:r>
        <w:rPr/>
        <w:t xml:space="preserve"> suppl. 9</w:t>
      </w:r>
    </w:p>
    <w:p>
      <w:pPr>
        <w:numPr>
          <w:ilvl w:val="0"/>
          <w:numId w:val="2"/>
        </w:numPr>
      </w:pPr>
      <w:r>
        <w:rPr/>
        <w:t xml:space="preserve">2021: « Phénomènes d’acculturation linguistique en Italie ostrogothique (latin et gothique) », in </w:t>
      </w:r>
      <w:r>
        <w:rPr>
          <w:i w:val="1"/>
          <w:iCs w:val="1"/>
        </w:rPr>
        <w:t xml:space="preserve">La communication sous l’Empire romain tardif (IIIe-VIIe siècles). Problèmes linguistiques et interprétatifs</w:t>
      </w:r>
      <w:r>
        <w:rPr/>
        <w:t xml:space="preserve">, Agnès Arbo et Frédéric Chapot, Ktèma, 46, p. 53-68.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d'acculturation linguistique en Italie ostrogothique (latin et gothique)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La communication dans l'Empire romain tardif (IIIe-VIIe siècle). Problèmes linguistiques et interprétatifs, 46,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&amp;quot;Cassiodorus: The Selected Letters of Cassiodorus. A Sixth-Century Sourcebook. Edited and Translated by M. Shane Bjornlie. Oakland, CA: University of California Press 2020&amp;quot;, in Plekos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2021, pp.427-433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&amp;quot;Cassiodore : 'De L’Ȃme'. Texte corrigé de J. W. Halporn. Introduction, traduction et notes d’A. Galonnier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Theological Studies</w:t>
            </w:r>
            <w:r>
              <w:rPr/>
              <w:t xml:space="preserve">, 2020, 71 (1),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&amp;quot;'Il Senato Romano nell’Italia Ostrogota', Adolfo La Rocca et Fabrizio Oppedisano,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2020, 28, p. 390-392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&amp;quot;Massimiliano Vitiello, Amalasuintha, 'The transformation of Queenship in the Post-Roman World',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2019, 27, p. 389-391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l'ouvrage] Massimiliano Vitiello Theodahad. A Platonic King at the Collapse of Ostrogothic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2017, La présence impériale dans la Rome tardo-antique, 25, pp.480-482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&amp;quot;Jonathan J. Arnold, 'Theoderic and the Roman Imperial Restoration' (2014)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2017, vol. 25, p. 474-476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&amp;quot;Procope de Césarée, Constructions de Justinien Ier, introduction, traduction, commentaires, cartes et index par Denis Roques,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d'Istruzione Classica</w:t>
            </w:r>
            <w:r>
              <w:rPr/>
              <w:t xml:space="preserve">, 2015, 143-1, pp.238-241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L'éloge du lac de Côme par Cassiodore (Variae XI, 14): lieux communs, réécriture, échos littéraires (Pline, Ammien Marcellin, Faustus Niger, Ennode de Pavie)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2012-2013 (2), pp.141-173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 princeps des Variae de Cassiodore par Mariangelus Accursius et le manuscrit 211 de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2011, 65 (1),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de Cassiodore à la Consolation de Philosophie ? ( Variae I,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2010, 55 (2), pp.247-264.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⟨10.1484/J.REA.5.101048⟩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 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l'Antiquité dans l'Antiquité tardive et le haut Moyen Âge, VIII,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l’Antiquité dans l'Antiquité tardive et le haut Moyen Âge,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régente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Cassiodorus, Rivista di studi sulla tarda Antichità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L’automne de l’Afrique romaine. Hommages à Claude Lepelley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Histoire et Archéologie, Katherine Gruel; Christophe J. Goddard, 9791037005441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l’Italie ostrogothique : regards croisés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RET 10 (supplément 9), 2021,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καλοῖς κοινοπραγία : hommages à la mémoire de Pierre-Louis Malosse et Jean Bouffartigue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Association "Textes pour l'histoire de l'Antiquité tardive" (THAT)</w:t>
              </w:r>
            </w:hyperlink>
            <w:r>
              <w:rPr/>
              <w:t xml:space="preserve">, 3, 2014, Supplément de la Revue des études tardo-antiques (RET), 978-2-9551237-0-6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 ciuitatis, decor Italiae'. Monuments, travaux publics et spectacles au VIe siècle d’après les 'Variae' de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23, 2006, Munera, 978-88-7228-452-0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</w:t>
            </w:r>
            <w:r>
              <w:rPr>
                <w:i w:val="1"/>
                <w:iCs w:val="1"/>
              </w:rPr>
              <w:t xml:space="preserve">Cassiodore et l’Italie ostrogothique : regards croisés sur les sources, RET 10, suppl. 9,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Association THAT</w:t>
              </w:r>
            </w:hyperlink>
            <w:r>
              <w:rPr/>
              <w:t xml:space="preserve">, pp.V-VI et 97-98, 2021, 978-2-9551237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les royaumes ostrogothique et vandale (489-534)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pp.89-105, 2021, Histoire et Archéologie, 9791037005441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et résidences du roi Théodoric à l’orée du VIe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Sylvain Destephen, Josiane Barbier et François Chausson (dir.).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</w:t>
            </w:r>
            <w:r>
              <w:rPr/>
              <w:t xml:space="preserve">, Presses Universitaires de Rennes, pp.173-188, 2019, 9782753576803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princesses du royaume ostrogothique d’Italie (VIe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Augusta, regina, basilissa. La souveraine, de l’Empire romain au Moyen Age, entre héritage et métamorphoses</w:t>
            </w:r>
            <w:r>
              <w:rPr/>
              <w:t xml:space="preserve">, 71,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p. 21-40, 2018, De l'archéologie à l'histoire,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prince se proclame-t-il chrétien dans l'Italie ostrogothique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B. Dumézil; S. Destephen; H. Inglebert. </w:t>
            </w:r>
            <w:r>
              <w:rPr>
                <w:i w:val="1"/>
                <w:iCs w:val="1"/>
              </w:rPr>
              <w:t xml:space="preserve">Le prince chrétien de Constantin aux royautés barbares (IVe-VIIIe s.)</w:t>
            </w:r>
            <w:r>
              <w:rPr/>
              <w:t xml:space="preserve">, 22/2, </w:t>
            </w:r>
            <w:hyperlink r:id="rId4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p. 341-355, 2018, Travaux et Mémoires,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variée des &amp;quot;Variae&amp;quot; de Cassiodore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J. B. Amadieu, J. M. Joubert, F. Ploton Nicollet et M. Vartejanu-Joubert. </w:t>
            </w:r>
            <w:r>
              <w:rPr>
                <w:i w:val="1"/>
                <w:iCs w:val="1"/>
              </w:rPr>
              <w:t xml:space="preserve">Les sources au cœur de l’épistémologie historique et littéraire</w:t>
            </w:r>
            <w:r>
              <w:rPr/>
              <w:t xml:space="preserve">, 48, </w:t>
            </w:r>
            <w:hyperlink r:id="rId48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pp.37-47, 2017, Études et rencontres de l'École des Chartes, 9782357230842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urbain de Rome chez Cassiodore : une christianisation passée sous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Witschel et R. Behrwald. </w:t>
            </w:r>
            <w:r>
              <w:rPr>
                <w:i w:val="1"/>
                <w:iCs w:val="1"/>
              </w:rPr>
              <w:t xml:space="preserve">Rom in der Spätantike. Historische Erinnerung im städtischen Raum</w:t>
            </w:r>
            <w:r>
              <w:rPr/>
              <w:t xml:space="preserve">, 51,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p. 139-151, 2012, Habes (Heidelberger Althistorische Beiträge und Epigraphische Studien), 978-3-515-09445-0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le souvenir des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Sotinel; M. Sartre. </w:t>
            </w:r>
            <w:r>
              <w:rPr>
                <w:i w:val="1"/>
                <w:iCs w:val="1"/>
              </w:rPr>
              <w:t xml:space="preserve">L’usage du passé entre Antiquité tardive et Haut Moyen Age. Hommage à Brigitte Beaujard</w:t>
            </w:r>
            <w:r>
              <w:rPr/>
              <w:t xml:space="preserve">, Presses Universtaires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idéologiques de la parure monumentale des cités en Italie chez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Hervé Inglebert. </w:t>
            </w:r>
            <w:r>
              <w:rPr>
                <w:i w:val="1"/>
                <w:iCs w:val="1"/>
              </w:rPr>
              <w:t xml:space="preserve">Idéologie et valeurs civiques dans le monde romain. Hommage à Claude Lepelley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Picard</w:t>
              </w:r>
            </w:hyperlink>
            <w:r>
              <w:rPr/>
              <w:t xml:space="preserve">, pp.231-240, 2002, Textes, Images et Monuments de l'Antiquité au Haut Moyen Âge - Université Paris X Nanterre - CNRS, 9782708406322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volume &amp;quot;Anonyme de Valois II. L’Italie sous Odoacre et Théodoric, édition, traduction et commentaire de Michel Festy et Massimiliano Vitiello&amp;quot;, CUF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Desbordes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l'apparat-critique, du texte et de la traduction du volume &amp;quot;Histoire Auguste. Vie d'Alexandre Sévère, tome III, 2e partie, Introduction, édition critique, traduction, commentaire par C. Bertrand-Dagenbach, apparat critique par A. Molinier-Arbo et C. Bertrand-Dagenbach&amp;quot;, CUF,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hal-05540971v1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C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fauvinet-ranson" TargetMode="External"/><Relationship Id="rId9" Type="http://schemas.openxmlformats.org/officeDocument/2006/relationships/hyperlink" Target="https://www.idref.fr/076527743" TargetMode="External"/><Relationship Id="rId10" Type="http://schemas.openxmlformats.org/officeDocument/2006/relationships/hyperlink" Target="https://hal-univ-paris10.archives-ouvertes.fr/hal-01961277" TargetMode="External"/><Relationship Id="rId11" Type="http://schemas.openxmlformats.org/officeDocument/2006/relationships/hyperlink" Target="https://hal.science/hal-03589649v1" TargetMode="External"/><Relationship Id="rId12" Type="http://schemas.openxmlformats.org/officeDocument/2006/relationships/hyperlink" Target="https://hal.science/search/index/?q=*&amp;authFullName_s=Val&#233;rie Fauvinet-Ranson" TargetMode="External"/><Relationship Id="rId13" Type="http://schemas.openxmlformats.org/officeDocument/2006/relationships/hyperlink" Target="https://hal.parisnanterre.fr/hal-03466164v1" TargetMode="External"/><Relationship Id="rId14" Type="http://schemas.openxmlformats.org/officeDocument/2006/relationships/hyperlink" Target="https://hal.science/hal-03864743v1" TargetMode="External"/><Relationship Id="rId15" Type="http://schemas.openxmlformats.org/officeDocument/2006/relationships/hyperlink" Target="https://hal.parisnanterre.fr/hal-03868137v1" TargetMode="External"/><Relationship Id="rId16" Type="http://schemas.openxmlformats.org/officeDocument/2006/relationships/hyperlink" Target="https://hal.parisnanterre.fr/hal-03868167v1" TargetMode="External"/><Relationship Id="rId17" Type="http://schemas.openxmlformats.org/officeDocument/2006/relationships/hyperlink" Target="https://hal.science/hal-03858920v1" TargetMode="External"/><Relationship Id="rId18" Type="http://schemas.openxmlformats.org/officeDocument/2006/relationships/hyperlink" Target="https://hal.science/hal-03866836v1" TargetMode="External"/><Relationship Id="rId19" Type="http://schemas.openxmlformats.org/officeDocument/2006/relationships/hyperlink" Target="https://hal.parisnanterre.fr/hal-03501099v1" TargetMode="External"/><Relationship Id="rId20" Type="http://schemas.openxmlformats.org/officeDocument/2006/relationships/hyperlink" Target="https://hal.science/hal-02425164v1" TargetMode="External"/><Relationship Id="rId21" Type="http://schemas.openxmlformats.org/officeDocument/2006/relationships/hyperlink" Target="https://hal.parisnanterre.fr/hal-03065033v1" TargetMode="External"/><Relationship Id="rId22" Type="http://schemas.openxmlformats.org/officeDocument/2006/relationships/hyperlink" Target="https://hal.parisnanterre.fr/hal-03127763v1" TargetMode="External"/><Relationship Id="rId23" Type="http://schemas.openxmlformats.org/officeDocument/2006/relationships/hyperlink" Target="https://dx.doi.org/10.1484/J.REA.5.101048" TargetMode="External"/><Relationship Id="rId24" Type="http://schemas.openxmlformats.org/officeDocument/2006/relationships/hyperlink" Target="https://hal.science/hal-02911585v1" TargetMode="External"/><Relationship Id="rId25" Type="http://schemas.openxmlformats.org/officeDocument/2006/relationships/hyperlink" Target="https://hal.parisnanterre.fr/hal-02433177v1" TargetMode="External"/><Relationship Id="rId26" Type="http://schemas.openxmlformats.org/officeDocument/2006/relationships/hyperlink" Target="https://hal.parisnanterre.fr/hal-01961277v1" TargetMode="External"/><Relationship Id="rId27" Type="http://schemas.openxmlformats.org/officeDocument/2006/relationships/hyperlink" Target="https://hal.parisnanterre.fr/hal-03456194v1" TargetMode="External"/><Relationship Id="rId28" Type="http://schemas.openxmlformats.org/officeDocument/2006/relationships/hyperlink" Target="https://hal.science/search/index/?q=*&amp;authFullName_s=Xavier Dupuis" TargetMode="External"/><Relationship Id="rId29" Type="http://schemas.openxmlformats.org/officeDocument/2006/relationships/hyperlink" Target="https://hal.science/search/index/?q=*&amp;authFullName_s=Christophe Goddard" TargetMode="External"/><Relationship Id="rId30" Type="http://schemas.openxmlformats.org/officeDocument/2006/relationships/hyperlink" Target="https://hal.science/search/index/?q=*&amp;authFullName_s=Herv&#233; Inglebert" TargetMode="External"/><Relationship Id="rId31" Type="http://schemas.openxmlformats.org/officeDocument/2006/relationships/hyperlink" Target="https://www.editions-hermann.fr/" TargetMode="External"/><Relationship Id="rId32" Type="http://schemas.openxmlformats.org/officeDocument/2006/relationships/hyperlink" Target="https://hal.parisnanterre.fr/hal-03860919v1" TargetMode="External"/><Relationship Id="rId33" Type="http://schemas.openxmlformats.org/officeDocument/2006/relationships/hyperlink" Target="https://shs.hal.science/halshs-01233269v1" TargetMode="External"/><Relationship Id="rId34" Type="http://schemas.openxmlformats.org/officeDocument/2006/relationships/hyperlink" Target="https://hal.science/search/index/?q=*&amp;authFullName_s=Eugenio Amato" TargetMode="External"/><Relationship Id="rId35" Type="http://schemas.openxmlformats.org/officeDocument/2006/relationships/hyperlink" Target="https://hal.science/search/index/?q=*&amp;authFullName_s=Bernard Pouderon" TargetMode="External"/><Relationship Id="rId36" Type="http://schemas.openxmlformats.org/officeDocument/2006/relationships/hyperlink" Target="http://www.revue-etudes-tardo-antiques.fr/numero-en-cours-2/" TargetMode="External"/><Relationship Id="rId37" Type="http://schemas.openxmlformats.org/officeDocument/2006/relationships/hyperlink" Target="https://hal.parisnanterre.fr/hal-03466285v1" TargetMode="External"/><Relationship Id="rId38" Type="http://schemas.openxmlformats.org/officeDocument/2006/relationships/hyperlink" Target="https://edipuglia.it/" TargetMode="External"/><Relationship Id="rId39" Type="http://schemas.openxmlformats.org/officeDocument/2006/relationships/hyperlink" Target="https://hal.science/hal-03864737v1" TargetMode="External"/><Relationship Id="rId40" Type="http://schemas.openxmlformats.org/officeDocument/2006/relationships/hyperlink" Target="http://association-that.fr/" TargetMode="External"/><Relationship Id="rId41" Type="http://schemas.openxmlformats.org/officeDocument/2006/relationships/hyperlink" Target="https://hal.parisnanterre.fr/hal-03456222v1" TargetMode="External"/><Relationship Id="rId42" Type="http://schemas.openxmlformats.org/officeDocument/2006/relationships/hyperlink" Target="https://hal.science/hal-02320572v1" TargetMode="External"/><Relationship Id="rId43" Type="http://schemas.openxmlformats.org/officeDocument/2006/relationships/hyperlink" Target="https://hal.parisnanterre.fr/hal-02414318v1" TargetMode="External"/><Relationship Id="rId44" Type="http://schemas.openxmlformats.org/officeDocument/2006/relationships/hyperlink" Target="http://www.deboccard.com/fr/" TargetMode="External"/><Relationship Id="rId45" Type="http://schemas.openxmlformats.org/officeDocument/2006/relationships/hyperlink" Target="https://hal.parisnanterre.fr/hal-02413835v1" TargetMode="External"/><Relationship Id="rId46" Type="http://schemas.openxmlformats.org/officeDocument/2006/relationships/hyperlink" Target="http://achcbyz.com/achcbyzV2/" TargetMode="External"/><Relationship Id="rId47" Type="http://schemas.openxmlformats.org/officeDocument/2006/relationships/hyperlink" Target="https://hal.science/hal-02425162v1" TargetMode="External"/><Relationship Id="rId48" Type="http://schemas.openxmlformats.org/officeDocument/2006/relationships/hyperlink" Target="http://www.chartes.psl.eu/fr/rubrique-publications/livres-imprimes-numeriques" TargetMode="External"/><Relationship Id="rId49" Type="http://schemas.openxmlformats.org/officeDocument/2006/relationships/hyperlink" Target="https://hal.parisnanterre.fr/hal-02502121v1" TargetMode="External"/><Relationship Id="rId50" Type="http://schemas.openxmlformats.org/officeDocument/2006/relationships/hyperlink" Target="http://www.steiner-verlag.de/" TargetMode="External"/><Relationship Id="rId51" Type="http://schemas.openxmlformats.org/officeDocument/2006/relationships/hyperlink" Target="https://hal.parisnanterre.fr/hal-02337832v1" TargetMode="External"/><Relationship Id="rId52" Type="http://schemas.openxmlformats.org/officeDocument/2006/relationships/hyperlink" Target="https://hal.parisnanterre.fr/hal-03472625v1" TargetMode="External"/><Relationship Id="rId53" Type="http://schemas.openxmlformats.org/officeDocument/2006/relationships/hyperlink" Target="https://www.librairie-epona.fr/" TargetMode="External"/><Relationship Id="rId54" Type="http://schemas.openxmlformats.org/officeDocument/2006/relationships/hyperlink" Target="https://hal.parisnanterre.fr/hal-03868306v1" TargetMode="External"/><Relationship Id="rId55" Type="http://schemas.openxmlformats.org/officeDocument/2006/relationships/hyperlink" Target="https://hal.science/search/index/?q=*&amp;authFullName_s=Olivier Desbordes" TargetMode="External"/><Relationship Id="rId56" Type="http://schemas.openxmlformats.org/officeDocument/2006/relationships/hyperlink" Target="https://hal.science/hal-055409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Fauvinet-Ranson</dc:title>
  <dc:description>CV</dc:description>
  <dc:subject/>
  <cp:keywords/>
  <cp:category/>
  <cp:lastModifiedBy/>
  <dcterms:created xsi:type="dcterms:W3CDTF">2026-05-07T16:58:29+02:00</dcterms:created>
  <dcterms:modified xsi:type="dcterms:W3CDTF">2026-05-07T16:58:29+02:00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