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Virginie Chrétien </w:t>
      </w:r>
    </w:p>
    <w:p>
      <w:pPr>
        <w:spacing w:before="600"/>
      </w:pPr>
    </w:p>
    <w:p>
      <w:pPr>
        <w:spacing w:before="600"/>
      </w:pPr>
    </w:p>
    <w:p>
      <w:pPr>
        <w:pStyle w:val="Heading2"/>
      </w:pPr>
      <w:r>
        <w:rPr>
          <w:color w:val="1e198e"/>
          <w:b w:val="1"/>
          <w:bCs w:val="1"/>
        </w:rPr>
        <w:t xml:space="preserve">Présentation</w:t>
      </w:r>
    </w:p>
    <w:p>
      <w:pPr>
        <w:spacing w:after="100"/>
      </w:pPr>
    </w:p>
    <w:p>
      <w:pPr/>
      <w:r>
        <w:rPr/>
        <w:t xml:space="preserve">Profil :</w:t>
      </w:r>
    </w:p>
    <w:p>
      <w:pPr/>
      <w:r>
        <w:rPr/>
        <w:t xml:space="preserve">Enseignante spécialisée et Maître formatrice, mon parcours s’inscrit dans une articulation constante entre recherche en sciences de l’éducation et pratiques professionnelles en milieu scolaire. Mes travaux portent sur les conditions d’apprentissage des élèves à besoins éducatifs particuliers, dans une perspective de professionnalisation des acteurs de l’enseignement primaire et secondaire (SEGPA - cycle 4). Dans le cadre de la réforme 2025, qui prévoit un positionnement du concours de recrutement des professeurs des écoles en fin de licence et la mise en place d’une licence spécifique (LPE), j’interviens dans la formation initiale et continue des enseignants à différents niveaux : en établissement scolaire, en circonscription et en INSPÉ. Mes activités consistent à accompagner les futurs enseignants dans l’appropriation des compétences professionnelles attendues, en lien avec les blocs de formation de la nouvelle maquette : maîtrise des savoirs disciplinaires et de leur didactique, conception de situations d’enseignement différenciées, analyse réflexive des pratiques, connaissance du développement de l’enfant, et production d’écrits professionnels. J’interviens également dans les parcours de professionnalisation de la LPE et dans les masters MEEF, notamment sur les unités d’enseignement liées à la construction de l’identité professionnelle, à la préparation au concours et à l’entrée dans le métier. Cette mission s’appuie sur une posture réflexive et une volonté de croiser les apports théoriques et les réalités du terrain, dans une visée de transformation des pratiques éducatives.</w:t>
      </w:r>
    </w:p>
    <w:p>
      <w:pPr/>
      <w:r>
        <w:rPr/>
        <w:t xml:space="preserve">Expériences Professionnelles :</w:t>
      </w:r>
    </w:p>
    <w:p>
      <w:pPr/>
      <w:r>
        <w:rPr/>
        <w:t xml:space="preserve">2025 : Enseignante maître formatrice École maternelle  et INSPÉ de Villeneuve d’Ascq (66 heures minimum de cours et d’interventions diverses)2024-2025 : Enseignante spécialisée en équipe pluridisciplinaire SESSAD, Service d’éducation spéciale et de soins à domicile, inclusion scolaire.2020 – 2024 : Enseignante en collège SEGPA (6ème, 5ème, 4ème, 3ème)2015 – 2020 : Maître formatrice : (CE2, CE1, CP) et Participant aux recherches en mathématiques initiées par le plan Villani-Torossian - École primaire et ESPE de Villeneuve d’Ascq (288 heures).2013 – 2014 : Conseillère pédagogique, Inspection de Lille3.2005-2015 : Enseignante en ULIS.2003- 2005 : Enseignante en ITEP.2002-2003 : Formation IUFM de Lille.2001-2002 : Enseignante en classe ordinaire (cours multiples, CE2, CM1).1991 à 2001 : Informatique (vente) 1998, Ingram Micro, Responsable de Magasin (gestion d’équipe) 1994, Adjointe de Magasin (gestion d’équipe) 1991 grande chîne de magasin prêt à porter féminin.</w:t>
      </w:r>
    </w:p>
    <w:p>
      <w:pPr/>
      <w:r>
        <w:rPr/>
        <w:t xml:space="preserve">Formation et Qualifications :</w:t>
      </w:r>
    </w:p>
    <w:p>
      <w:pPr/>
      <w:r>
        <w:rPr/>
        <w:t xml:space="preserve">2024 : Docteure des Universités en sciences de l’éducation et de la formation (Lille 3).Thèse : Une étude historique de la notion d'imitation dans les théories de l'apprentissage, de Condillac à Rizzolatti2017-2024 : Doctorat en Sciences Humaines et Sociales (SHS)2017 : Master MEEF (Métiers de l'Enseignement, de l'Éducation et de la Formation)2014 : CAFIPEMF (Certificat d'Aptitude aux Fonctions d'Instituteur ou de Professeur des Écoles Maître Formateur)2006 : CAPA-SH (Certificat d'Aptitude Professionnelle pour les Aides spécialisées) - Option D2000 : CRPE-  l'IUFM de Lille1990 : DESSMA (Diplôme Européen Supérieur de Marketing – niveau II, maîtrise)Recherche</w:t>
      </w:r>
    </w:p>
    <w:p>
      <w:pPr/>
      <w:r>
        <w:rPr/>
        <w:t xml:space="preserve">Unités de recherche :</w:t>
      </w:r>
    </w:p>
    <w:p>
      <w:pPr/>
      <w:r>
        <w:rPr/>
        <w:t xml:space="preserve">•	Depuis 2020 : Laboratoire STL – Sciences textes et langages, CNRS, UMR 8163.•	2017 - 2020 : Recherche en Éducation Compétences Interactions Formations Éthique Savoirs – RECIFES (EA 4520).Principales Publications•	2025 (à paraître en décembre) : Article :  « L’imitation et le développement cognitif : une étude historique des ruptures épistémologiques, du XVIIIe siècle à nos jours » Revue Les Études sociales.•	2025 : « Le savoir-relation de Jerome Bruner : les micro-processus relationnels au cœur de l’apprentissage ». Laboratoire Bonheurs, Cergy université suite au colloque Horizons des sciences de l’éducation, (communication du 15 octobre 2025), publication aux éditions EDBH.•	2024 - 2025 (à paraître) : Article sur « Baldwin et l’imitation graphique » aux éditions Septentrion.•	2022 : « Le rôle de l’imitation dans l’apprentissage et le développement chez Jean Piaget ». Mosaïque. DOI: 10.54563/mosaique.363.•	2022 : Coordination du numéro Mosaïque n°17 consacré à l’imitation, avec Nassim El Kabli. Voir la revue. </w:t>
      </w:r>
      <w:hyperlink r:id="rId7" w:history="1">
        <w:r>
          <w:rPr>
            <w:color w:val="#410a8c"/>
            <w:u w:val="single"/>
          </w:rPr>
          <w:t xml:space="preserve">https://www.peren-revues.fr/mosaique/201</w:t>
        </w:r>
      </w:hyperlink>
      <w:r>
        <w:rPr/>
        <w:t xml:space="preserve">•	2015 : Publication, Glaine Virginie, situation « écrire un haïku », Rédiger en orthographiant, Lille, Canopé.</w:t>
      </w:r>
    </w:p>
    <w:p>
      <w:pPr/>
      <w:r>
        <w:rPr/>
        <w:t xml:space="preserve">Activités Scientifiques et Communications :</w:t>
      </w:r>
    </w:p>
    <w:p>
      <w:pPr/>
      <w:r>
        <w:rPr/>
        <w:t xml:space="preserve">•	15.10.2025 : « Le savoir-relation de Jerome Bruner : les micro-processus relationnels au cœur de l’apprentissage ». Laboratoire Bonheurs, Cergy université suite au colloque Horizons des sciences de l’éducation, Ma communication s’est déroulée le mercredi 15 octobre 2025, une publication issue du colloque paraîtra aux éditions EDBH.•	19.06.2025 : Communication : « L’importance des structures imitatives (schèmes) dans l’apprentissage du langage chez Jean Piaget, Lev Vygotski et Jerome Bruner », par Virginie Chrétien.•	23.06.2021 : Organisatrice d’un colloque concernant le rôle de l’imitation à la MESHS de Lille.•	22.10.2021 : Organisation des 8èmes « Doctiling » avec Rou Chen et Anaïs Koptient, au sein du laboratoire STL.•	27.11.2019 : Organisatrice d’une journée d'étude concernant le rôle de l’imitation à la MESHS de Lille.•	05.06.2019 : Communication Apple à la MESHS de Lille : « L’imitation selon Condillac ».•	06.06.2018 : Communication Apple à la MESHS : « L’imitation graphique chez l’enfant selon James Baldwin ».•	14.03.2018 : Communication Apple à la MESHS : « L’imitation, un élément moteur d’apprentissage de la langue ? ».•	2018 : Participation à la recherche AILE (Apprentissage de la Lecture et de l’Ecriture - recherche COFIDEM avec Alain Bentolila, Université Paris-Descartes).•	2017 : Répondante de Monsieur Philippe Hofman - MESHS.</w:t>
      </w:r>
    </w:p>
    <w:p>
      <w:pPr/>
      <w:r>
        <w:rPr/>
        <w:t xml:space="preserve">Formations et Interventions Pédagogiques :</w:t>
      </w:r>
    </w:p>
    <w:p>
      <w:pPr/>
      <w:r>
        <w:rPr/>
        <w:t xml:space="preserve">•	2025 – 2026 : INSPÉ (66 heures : didactique de l’anglais - Module concerné : E.C.A 4.1.7 – Consolidation des savoirs en EPS (M1 / L3) - M2 Arts plastiques avec. Oraux fin d’année 6h00 et d’autres groups à venir pour le deuxième trimestre.•	2025 – 2026 : Formation continue des enseignants dans le cadre des nouveaux programmes 2025. Formatrice – Circonscription Lille 1 Sud / INSPE Lille HdF (36h00) Circonscription Lille 1 Sud : Formation continue des enseignants, professeurs des écoles, C1, C2, C3. Vocabulaire – Visites de classes.•	2025 – 2026 : Membre du jury CAFIPEMF.•	2015 – 2020 : (288h00 INSPÉ) Le harcèlement en primaire et au collège – INSPÉ de Villeneuve d’Ascq.  La géométrie au cycle 2 - Module maternelle - Le code orthographique -   Éducation civique et morale par les albums. Oraux de passage CRPE. Correction de mémoires M2. Aide d’une PE en difficulté (visites conseils).•	2008 - 2010 : Formation continue : “L’écriture tâtonnée, Emilia Ferreiro”. Formation continue : “Les quatre stades de l’écriture”. Formation continue : “La littérature en maternelle”. Formation continue : L’orthographe avec les Haïkus. La géométrie au cycle 2.</w:t>
      </w:r>
    </w:p>
    <w:p>
      <w:pPr/>
      <w:r>
        <w:rPr/>
        <w:t xml:space="preserve">Publications :</w:t>
      </w:r>
    </w:p>
    <w:p>
      <w:pPr>
        <w:numPr>
          <w:ilvl w:val="0"/>
          <w:numId w:val="1"/>
        </w:numPr>
      </w:pPr>
      <w:r>
        <w:rPr/>
        <w:t xml:space="preserve">Chrétien, V. (à paraître, 2026),  «Pierre Bourdieu et Albert Bandura, système scolaire, domination et émancipation du sujet »,  Recherches en éducation, 62 |https://journals.openedition.org/ree/13955</w:t>
      </w:r>
    </w:p>
    <w:p>
      <w:pPr>
        <w:numPr>
          <w:ilvl w:val="0"/>
          <w:numId w:val="1"/>
        </w:numPr>
      </w:pPr>
      <w:r>
        <w:rPr/>
        <w:t xml:space="preserve">Chrétien, V. (à paraître, 2026), « Le savoir relation de Jerome Bruner : les micro processus relationnels au cœur de l’apprentissage », ouvrage à paraître aux Éditions EDBH, CY Cergy Paris Université.</w:t>
      </w:r>
    </w:p>
    <w:p>
      <w:pPr>
        <w:numPr>
          <w:ilvl w:val="0"/>
          <w:numId w:val="1"/>
        </w:numPr>
      </w:pPr>
      <w:r>
        <w:rPr/>
        <w:t xml:space="preserve">Chrétien, V. (à paraître, 2026), « L'imitation graphique chez le jeune enfant selon James Baldwin », </w:t>
      </w:r>
      <w:r>
        <w:rPr>
          <w:i w:val="1"/>
          <w:iCs w:val="1"/>
        </w:rPr>
        <w:t xml:space="preserve">L'enfant et le langage. Apprentissage des normes sociales, morales et politiques</w:t>
      </w:r>
      <w:r>
        <w:rPr/>
        <w:t xml:space="preserve">, ouvrage co-dirigé par Bernard Geay, François Goubet et Layla Raïd. Presses Universitaires du Septentrion, collection Paradoxa.</w:t>
      </w:r>
    </w:p>
    <w:p>
      <w:pPr>
        <w:numPr>
          <w:ilvl w:val="0"/>
          <w:numId w:val="1"/>
        </w:numPr>
      </w:pPr>
      <w:r>
        <w:rPr/>
        <w:t xml:space="preserve">Chrétien, V. (2025). «L’imitation et le développement cognitif : une étude historique des ruptures épistémologiques, du XVIIIe siècle à nos jours». Les Études Sociales, 182(2), 203-233. </w:t>
      </w:r>
      <w:hyperlink r:id="rId8" w:history="1">
        <w:r>
          <w:rPr>
            <w:color w:val="#410a8c"/>
            <w:u w:val="single"/>
          </w:rPr>
          <w:t xml:space="preserve">https://doi.org/10.3917/etsoc.182.0203</w:t>
        </w:r>
      </w:hyperlink>
      <w:r>
        <w:rPr/>
        <w:t xml:space="preserve">.</w:t>
      </w:r>
    </w:p>
    <w:p>
      <w:pPr>
        <w:numPr>
          <w:ilvl w:val="0"/>
          <w:numId w:val="1"/>
        </w:numPr>
      </w:pPr>
      <w:r>
        <w:rPr/>
        <w:t xml:space="preserve">Chrétien V. (2022), « Le rôle de l’imitation dans le développement et l’apprentissage chez Jean Piaget », Mosaïque [En ligne], 17 | 2022, mis en ligne le 03 juin 2022, consulté le 08 mars 2026. DOI : 10.54563/mosaique.363</w:t>
      </w:r>
    </w:p>
    <w:p>
      <w:pPr>
        <w:numPr>
          <w:ilvl w:val="0"/>
          <w:numId w:val="1"/>
        </w:numPr>
      </w:pPr>
      <w:r>
        <w:rPr/>
        <w:t xml:space="preserve">Chrétien V. (sous le nom de Virginie Glaine), (2015), « Écrire un haïku », </w:t>
      </w:r>
      <w:r>
        <w:rPr>
          <w:i w:val="1"/>
          <w:iCs w:val="1"/>
        </w:rPr>
        <w:t xml:space="preserve">Rédiger en orthographiant</w:t>
      </w:r>
      <w:r>
        <w:rPr/>
        <w:t xml:space="preserve">, École élémentaire du CP au CM2,  Lille, Canopé éditions, collection Agir.</w:t>
      </w:r>
    </w:p>
    <w:p>
      <w:pPr/>
      <w:r>
        <w:rPr/>
        <w:t xml:space="preserve">Engagements et Responsabilités :</w:t>
      </w:r>
    </w:p>
    <w:p>
      <w:pPr/>
      <w:r>
        <w:rPr/>
        <w:t xml:space="preserve">Adhérente à la SOFPHIED et à l’AECSE.</w:t>
      </w:r>
    </w:p>
    <w:p>
      <w:pPr/>
      <w:r>
        <w:rPr/>
        <w:t xml:space="preserve">24.10.2025 Expertise d’un article pour la SOFPHIED d’un texte dans le cadre du numéro 6 de la revue ARPHE.23.06.2021 : Organisatrice d’un colloque concernant le rôle de l’imitation à la MESHS de Lille.22.10.2021 : Organisation des 8èmes « Doctiling » au sein du laboratoire STL.27.11.2019 : Organisatrice d’une journée d'étude concernant le rôle de l’imitation à la MESHS de Lille.2016 à ce jour : Chargée de communication pour l’association des amis des musées de Lille.2013 - 2015 : Rédactrice au sein du Magazine belge en ligne « Slow Classe » (sous le nom de Virginie Glaine).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Pierre Bourdieu and Albert Bandura: the school system, domination and the emancipation of the individual</w:t>
              </w:r>
            </w:hyperlink>
          </w:p>
          <w:p>
            <w:pPr/>
            <w:hyperlink r:id="rId10" w:history="1">
              <w:r>
                <w:rPr>
                  <w:color w:val="#410a8c"/>
                  <w:u w:val="single"/>
                </w:rPr>
                <w:t xml:space="preserve">Virginie Chrétien</w:t>
              </w:r>
            </w:hyperlink>
          </w:p>
          <w:p>
            <w:pPr/>
            <w:r>
              <w:rPr>
                <w:i w:val="1"/>
                <w:iCs w:val="1"/>
              </w:rPr>
              <w:t xml:space="preserve">Recherches en éducation</w:t>
            </w:r>
            <w:r>
              <w:rPr/>
              <w:t xml:space="preserve">, In press, 62, https://journals.openedition.org/ree/13955</w:t>
            </w:r>
          </w:p>
          <w:p>
            <w:pPr/>
            <w:r>
              <w:rPr/>
              <w:t xml:space="preserve">Article dans une revue</w:t>
            </w:r>
          </w:p>
          <w:p>
            <w:pPr/>
            <w:hyperlink r:id="rId9" w:history="1">
              <w:r>
                <w:rPr>
                  <w:color w:val="#410a8c"/>
                  <w:u w:val="single"/>
                </w:rPr>
                <w:t xml:space="preserve">hal-05541897v1</w:t>
              </w:r>
            </w:hyperlink>
          </w:p>
        </w:tc>
      </w:tr>
      <w:tr>
        <w:trPr/>
        <w:tc>
          <w:tcPr>
            <w:noWrap/>
          </w:tcPr>
          <w:p>
            <w:pPr>
              <w:spacing w:after="200"/>
            </w:pPr>
            <w:hyperlink r:id="rId11" w:history="1">
              <w:r>
                <w:rPr>
                  <w:color w:val="1e198e"/>
                  <w:b w:val="1"/>
                  <w:bCs w:val="1"/>
                  <w:u w:val="single"/>
                </w:rPr>
                <w:t xml:space="preserve">L’imitation et le développement cognitif : une étude historique des ruptures épistémologiques, du XVIII e siècle à nos jours</w:t>
              </w:r>
            </w:hyperlink>
          </w:p>
          <w:p>
            <w:pPr/>
            <w:hyperlink r:id="rId10" w:history="1">
              <w:r>
                <w:rPr>
                  <w:color w:val="#410a8c"/>
                  <w:u w:val="single"/>
                </w:rPr>
                <w:t xml:space="preserve">Virginie Chrétien</w:t>
              </w:r>
            </w:hyperlink>
          </w:p>
          <w:p>
            <w:pPr/>
            <w:r>
              <w:rPr>
                <w:i w:val="1"/>
                <w:iCs w:val="1"/>
              </w:rPr>
              <w:t xml:space="preserve">Les Études sociales</w:t>
            </w:r>
            <w:r>
              <w:rPr/>
              <w:t xml:space="preserve">, 2026, n° 182 (2), pp.203-233. </w:t>
            </w:r>
            <w:hyperlink r:id="rId12" w:history="1">
              <w:r>
                <w:rPr>
                  <w:color w:val="#410a8c"/>
                  <w:u w:val="single"/>
                </w:rPr>
                <w:t xml:space="preserve">⟨10.3917/etsoc.182.0203⟩</w:t>
              </w:r>
            </w:hyperlink>
          </w:p>
          <w:p>
            <w:pPr/>
            <w:r>
              <w:rPr/>
              <w:t xml:space="preserve">Article dans une revue</w:t>
            </w:r>
          </w:p>
          <w:p>
            <w:pPr/>
            <w:hyperlink r:id="rId11" w:history="1">
              <w:r>
                <w:rPr>
                  <w:color w:val="#410a8c"/>
                  <w:u w:val="single"/>
                </w:rPr>
                <w:t xml:space="preserve">hal-05541885v1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Jerôme Bruner, démonstrations et mises en mots : l’adulte comme médiateur de l’apprentissage par ses schèmes relationnels et discursifs</w:t>
              </w:r>
            </w:hyperlink>
          </w:p>
          <w:p>
            <w:pPr/>
            <w:hyperlink r:id="rId10" w:history="1">
              <w:r>
                <w:rPr>
                  <w:color w:val="#410a8c"/>
                  <w:u w:val="single"/>
                </w:rPr>
                <w:t xml:space="preserve">Virginie Chrétien</w:t>
              </w:r>
            </w:hyperlink>
          </w:p>
          <w:p>
            <w:pPr/>
            <w:r>
              <w:rPr>
                <w:i w:val="1"/>
                <w:iCs w:val="1"/>
              </w:rPr>
              <w:t xml:space="preserve">Séminaire APPEL : Analyse des Pratiques Professionnelles sur les Echanges Langagiers</w:t>
            </w:r>
            <w:r>
              <w:rPr/>
              <w:t xml:space="preserve">, Laboratoire Savoirs Textes et langage, STL, CNRS UMR 8163; Laboratoire CIREL (Centre interuniversitaire de recherche en éducation de Lille) ULR 4354, Jan 2026, Lille, France</w:t>
            </w:r>
          </w:p>
          <w:p>
            <w:pPr/>
            <w:r>
              <w:rPr/>
              <w:t xml:space="preserve">Communication dans un congrès</w:t>
            </w:r>
          </w:p>
          <w:p>
            <w:pPr/>
            <w:hyperlink r:id="rId13" w:history="1">
              <w:r>
                <w:rPr>
                  <w:color w:val="#410a8c"/>
                  <w:u w:val="single"/>
                </w:rPr>
                <w:t xml:space="preserve">hal-05452747v1</w:t>
              </w:r>
            </w:hyperlink>
          </w:p>
        </w:tc>
      </w:tr>
      <w:tr>
        <w:trPr/>
        <w:tc>
          <w:tcPr>
            <w:noWrap/>
          </w:tcPr>
          <w:p>
            <w:pPr>
              <w:spacing w:after="200"/>
            </w:pPr>
            <w:hyperlink r:id="rId14" w:history="1">
              <w:r>
                <w:rPr>
                  <w:color w:val="1e198e"/>
                  <w:b w:val="1"/>
                  <w:bCs w:val="1"/>
                  <w:u w:val="single"/>
                </w:rPr>
                <w:t xml:space="preserve">« L’importance des schèmes et des structures imitatives dans l’apprentissage du langage chez Jean Piaget, Lev Vygotski et Jerome Bruner »</w:t>
              </w:r>
            </w:hyperlink>
          </w:p>
          <w:p>
            <w:pPr/>
            <w:hyperlink r:id="rId10" w:history="1">
              <w:r>
                <w:rPr>
                  <w:color w:val="#410a8c"/>
                  <w:u w:val="single"/>
                </w:rPr>
                <w:t xml:space="preserve">Virginie Chrétien</w:t>
              </w:r>
            </w:hyperlink>
          </w:p>
          <w:p>
            <w:pPr/>
            <w:r>
              <w:rPr>
                <w:i w:val="1"/>
                <w:iCs w:val="1"/>
              </w:rPr>
              <w:t xml:space="preserve">Séminaire APPEL : Analyse des Pratiques Professionnelles sur les Echanges Langagiers</w:t>
            </w:r>
            <w:r>
              <w:rPr/>
              <w:t xml:space="preserve">, Laboratoire Savoirs Textes et langage, STL, CNRS UMR 8163, Jun 2025, Villeneuve-d'Ascq France, France</w:t>
            </w:r>
          </w:p>
          <w:p>
            <w:pPr/>
            <w:r>
              <w:rPr/>
              <w:t xml:space="preserve">Communication dans un congrès</w:t>
            </w:r>
          </w:p>
          <w:p>
            <w:pPr/>
            <w:hyperlink r:id="rId14" w:history="1">
              <w:r>
                <w:rPr>
                  <w:color w:val="#410a8c"/>
                  <w:u w:val="single"/>
                </w:rPr>
                <w:t xml:space="preserve">hal-05389013v1</w:t>
              </w:r>
            </w:hyperlink>
          </w:p>
        </w:tc>
      </w:tr>
      <w:tr>
        <w:trPr/>
        <w:tc>
          <w:tcPr>
            <w:noWrap/>
          </w:tcPr>
          <w:p>
            <w:pPr>
              <w:spacing w:after="200"/>
            </w:pPr>
            <w:hyperlink r:id="rId15" w:history="1">
              <w:r>
                <w:rPr>
                  <w:color w:val="1e198e"/>
                  <w:b w:val="1"/>
                  <w:bCs w:val="1"/>
                  <w:u w:val="single"/>
                </w:rPr>
                <w:t xml:space="preserve">« Le savoir-relation de Jerome Bruner : les micro-processus relationnels au cœur de l’apprentissage »</w:t>
              </w:r>
            </w:hyperlink>
          </w:p>
          <w:p>
            <w:pPr/>
            <w:hyperlink r:id="rId10" w:history="1">
              <w:r>
                <w:rPr>
                  <w:color w:val="#410a8c"/>
                  <w:u w:val="single"/>
                </w:rPr>
                <w:t xml:space="preserve">Virginie Chrétien</w:t>
              </w:r>
            </w:hyperlink>
          </w:p>
          <w:p>
            <w:pPr/>
            <w:r>
              <w:rPr>
                <w:i w:val="1"/>
                <w:iCs w:val="1"/>
              </w:rPr>
              <w:t xml:space="preserve">Horizons des sciences de l’éducation</w:t>
            </w:r>
            <w:r>
              <w:rPr/>
              <w:t xml:space="preserve">, Laboratoire Bonheurs, Cergy Université, Oct 2025, Cergy (CY Cergy Paris Université), France</w:t>
            </w:r>
          </w:p>
          <w:p>
            <w:pPr/>
            <w:r>
              <w:rPr/>
              <w:t xml:space="preserve">Communication dans un congrès</w:t>
            </w:r>
          </w:p>
          <w:p>
            <w:pPr/>
            <w:hyperlink r:id="rId15" w:history="1">
              <w:r>
                <w:rPr>
                  <w:color w:val="#410a8c"/>
                  <w:u w:val="single"/>
                </w:rPr>
                <w:t xml:space="preserve">hal-05388826v1</w:t>
              </w:r>
            </w:hyperlink>
          </w:p>
        </w:tc>
      </w:tr>
      <w:tr>
        <w:trPr/>
        <w:tc>
          <w:tcPr>
            <w:noWrap/>
          </w:tcPr>
          <w:p>
            <w:pPr>
              <w:spacing w:after="200"/>
            </w:pPr>
            <w:hyperlink r:id="rId16" w:history="1">
              <w:r>
                <w:rPr>
                  <w:color w:val="1e198e"/>
                  <w:b w:val="1"/>
                  <w:bCs w:val="1"/>
                  <w:u w:val="single"/>
                </w:rPr>
                <w:t xml:space="preserve">Organisation d'une journée d'étude : « Le rôle de l'imitation »</w:t>
              </w:r>
            </w:hyperlink>
          </w:p>
          <w:p>
            <w:pPr/>
            <w:hyperlink r:id="rId10" w:history="1">
              <w:r>
                <w:rPr>
                  <w:color w:val="#410a8c"/>
                  <w:u w:val="single"/>
                </w:rPr>
                <w:t xml:space="preserve">Virginie Chrétien</w:t>
              </w:r>
            </w:hyperlink>
            <w:r>
              <w:rPr/>
              <w:t xml:space="preserve">,</w:t>
            </w:r>
            <w:hyperlink r:id="rId17" w:history="1">
              <w:r>
                <w:rPr>
                  <w:color w:val="#410a8c"/>
                  <w:u w:val="single"/>
                </w:rPr>
                <w:t xml:space="preserve">Nassim El Kabli</w:t>
              </w:r>
            </w:hyperlink>
            <w:r>
              <w:rPr/>
              <w:t xml:space="preserve">,</w:t>
            </w:r>
            <w:hyperlink r:id="rId18" w:history="1">
              <w:r>
                <w:rPr>
                  <w:color w:val="#410a8c"/>
                  <w:u w:val="single"/>
                </w:rPr>
                <w:t xml:space="preserve">Camille Roelens</w:t>
              </w:r>
            </w:hyperlink>
            <w:r>
              <w:rPr/>
              <w:t xml:space="preserve">,</w:t>
            </w:r>
            <w:hyperlink r:id="rId19" w:history="1">
              <w:r>
                <w:rPr>
                  <w:color w:val="#410a8c"/>
                  <w:u w:val="single"/>
                </w:rPr>
                <w:t xml:space="preserve">Maxime Decout</w:t>
              </w:r>
            </w:hyperlink>
          </w:p>
          <w:p>
            <w:pPr/>
            <w:r>
              <w:rPr>
                <w:i w:val="1"/>
                <w:iCs w:val="1"/>
              </w:rPr>
              <w:t xml:space="preserve">Le rôle de l'imitation</w:t>
            </w:r>
            <w:r>
              <w:rPr/>
              <w:t xml:space="preserve">, Virginie Chrétien; Laboratoire Savoirs Textes et langage, STL, CNRS UMR 8163, Jun 2021, Lille, France. https://www.peren-revues.fr/mosaique/318</w:t>
            </w:r>
          </w:p>
          <w:p>
            <w:pPr/>
            <w:r>
              <w:rPr/>
              <w:t xml:space="preserve">Communication dans un congrès</w:t>
            </w:r>
          </w:p>
          <w:p>
            <w:pPr/>
            <w:hyperlink r:id="rId16" w:history="1">
              <w:r>
                <w:rPr>
                  <w:color w:val="#410a8c"/>
                  <w:u w:val="single"/>
                </w:rPr>
                <w:t xml:space="preserve">hal-05400392v1</w:t>
              </w:r>
            </w:hyperlink>
          </w:p>
        </w:tc>
      </w:tr>
      <w:tr>
        <w:trPr/>
        <w:tc>
          <w:tcPr>
            <w:noWrap/>
          </w:tcPr>
          <w:p>
            <w:pPr>
              <w:spacing w:after="200"/>
            </w:pPr>
            <w:hyperlink r:id="rId20" w:history="1">
              <w:r>
                <w:rPr>
                  <w:color w:val="1e198e"/>
                  <w:b w:val="1"/>
                  <w:bCs w:val="1"/>
                  <w:u w:val="single"/>
                </w:rPr>
                <w:t xml:space="preserve">Organisation de la journée d’étude Doctiling 8 – UMR STL, Université de Lille, le 22.10.2021</w:t>
              </w:r>
            </w:hyperlink>
          </w:p>
          <w:p>
            <w:pPr/>
            <w:hyperlink r:id="rId10" w:history="1">
              <w:r>
                <w:rPr>
                  <w:color w:val="#410a8c"/>
                  <w:u w:val="single"/>
                </w:rPr>
                <w:t xml:space="preserve">Virginie Chrétien</w:t>
              </w:r>
            </w:hyperlink>
            <w:r>
              <w:rPr/>
              <w:t xml:space="preserve">,</w:t>
            </w:r>
            <w:hyperlink r:id="rId21" w:history="1">
              <w:r>
                <w:rPr>
                  <w:color w:val="#410a8c"/>
                  <w:u w:val="single"/>
                </w:rPr>
                <w:t xml:space="preserve">Rou Chen</w:t>
              </w:r>
            </w:hyperlink>
            <w:r>
              <w:rPr/>
              <w:t xml:space="preserve">,</w:t>
            </w:r>
            <w:hyperlink r:id="rId22" w:history="1">
              <w:r>
                <w:rPr>
                  <w:color w:val="#410a8c"/>
                  <w:u w:val="single"/>
                </w:rPr>
                <w:t xml:space="preserve">Anaïs Koptient</w:t>
              </w:r>
            </w:hyperlink>
          </w:p>
          <w:p>
            <w:pPr/>
            <w:r>
              <w:rPr>
                <w:i w:val="1"/>
                <w:iCs w:val="1"/>
              </w:rPr>
              <w:t xml:space="preserve">8èmes DOCTILING</w:t>
            </w:r>
            <w:r>
              <w:rPr/>
              <w:t xml:space="preserve">, Laboratoire Savoirs Textes et langage, STL, CNRS UMR 8163, Oct 2021, Villeneuve d'Ascq (Lille 3), France</w:t>
            </w:r>
          </w:p>
          <w:p>
            <w:pPr/>
            <w:r>
              <w:rPr/>
              <w:t xml:space="preserve">Communication dans un congrès</w:t>
            </w:r>
          </w:p>
          <w:p>
            <w:pPr/>
            <w:hyperlink r:id="rId20" w:history="1">
              <w:r>
                <w:rPr>
                  <w:color w:val="#410a8c"/>
                  <w:u w:val="single"/>
                </w:rPr>
                <w:t xml:space="preserve">hal-05389476v1</w:t>
              </w:r>
            </w:hyperlink>
          </w:p>
        </w:tc>
      </w:tr>
      <w:tr>
        <w:trPr/>
        <w:tc>
          <w:tcPr>
            <w:noWrap/>
          </w:tcPr>
          <w:p>
            <w:pPr>
              <w:spacing w:after="200"/>
            </w:pPr>
            <w:hyperlink r:id="rId23" w:history="1">
              <w:r>
                <w:rPr>
                  <w:color w:val="1e198e"/>
                  <w:b w:val="1"/>
                  <w:bCs w:val="1"/>
                  <w:u w:val="single"/>
                </w:rPr>
                <w:t xml:space="preserve">Organisation d'un colloque : &amp;quot;La valeur de l'imitation</w:t>
              </w:r>
            </w:hyperlink>
          </w:p>
          <w:p>
            <w:pPr/>
            <w:hyperlink r:id="rId10" w:history="1">
              <w:r>
                <w:rPr>
                  <w:color w:val="#410a8c"/>
                  <w:u w:val="single"/>
                </w:rPr>
                <w:t xml:space="preserve">Virginie Chrétien</w:t>
              </w:r>
            </w:hyperlink>
            <w:r>
              <w:rPr/>
              <w:t xml:space="preserve">,</w:t>
            </w:r>
            <w:hyperlink r:id="rId24" w:history="1">
              <w:r>
                <w:rPr>
                  <w:color w:val="#410a8c"/>
                  <w:u w:val="single"/>
                </w:rPr>
                <w:t xml:space="preserve">Stéphane Hirschi</w:t>
              </w:r>
            </w:hyperlink>
            <w:r>
              <w:rPr/>
              <w:t xml:space="preserve">,</w:t>
            </w:r>
            <w:hyperlink r:id="rId25" w:history="1">
              <w:r>
                <w:rPr>
                  <w:color w:val="#410a8c"/>
                  <w:u w:val="single"/>
                </w:rPr>
                <w:t xml:space="preserve">Alain Firode</w:t>
              </w:r>
            </w:hyperlink>
            <w:r>
              <w:rPr/>
              <w:t xml:space="preserve">,</w:t>
            </w:r>
            <w:hyperlink r:id="rId26" w:history="1">
              <w:r>
                <w:rPr>
                  <w:color w:val="#410a8c"/>
                  <w:u w:val="single"/>
                </w:rPr>
                <w:t xml:space="preserve">Sébastien Charbonnier</w:t>
              </w:r>
            </w:hyperlink>
          </w:p>
          <w:p>
            <w:pPr/>
            <w:r>
              <w:rPr>
                <w:i w:val="1"/>
                <w:iCs w:val="1"/>
              </w:rPr>
              <w:t xml:space="preserve">La valeur de l'imitation</w:t>
            </w:r>
            <w:r>
              <w:rPr/>
              <w:t xml:space="preserve">, Laboratoire Savoirs Textes et langage, STL, CNRS UMR 8163, May 2019, Lille, France</w:t>
            </w:r>
          </w:p>
          <w:p>
            <w:pPr/>
            <w:r>
              <w:rPr/>
              <w:t xml:space="preserve">Communication dans un congrès</w:t>
            </w:r>
          </w:p>
          <w:p>
            <w:pPr/>
            <w:hyperlink r:id="rId23" w:history="1">
              <w:r>
                <w:rPr>
                  <w:color w:val="#410a8c"/>
                  <w:u w:val="single"/>
                </w:rPr>
                <w:t xml:space="preserve">hal-05400538v1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 L'imitation graphique chez le jeune enfant selon James Baldwin »</w:t>
              </w:r>
            </w:hyperlink>
          </w:p>
          <w:p>
            <w:pPr/>
            <w:hyperlink r:id="rId10" w:history="1">
              <w:r>
                <w:rPr>
                  <w:color w:val="#410a8c"/>
                  <w:u w:val="single"/>
                </w:rPr>
                <w:t xml:space="preserve">Virginie Chrétien</w:t>
              </w:r>
            </w:hyperlink>
          </w:p>
          <w:p>
            <w:pPr/>
            <w:r>
              <w:rPr>
                <w:i w:val="1"/>
                <w:iCs w:val="1"/>
              </w:rPr>
              <w:t xml:space="preserve">L'enfant et le langage. Apprentissage des normes sociales, morales et politiques</w:t>
            </w:r>
            <w:r>
              <w:rPr/>
              <w:t xml:space="preserve">, collection Paradoxa, Presses Universitaires du Septentrion, A paraître, Paradoxa</w:t>
            </w:r>
          </w:p>
          <w:p>
            <w:pPr/>
            <w:r>
              <w:rPr/>
              <w:t xml:space="preserve">Chapitre d'ouvrage</w:t>
            </w:r>
          </w:p>
          <w:p>
            <w:pPr/>
            <w:hyperlink r:id="rId27" w:history="1">
              <w:r>
                <w:rPr>
                  <w:color w:val="#410a8c"/>
                  <w:u w:val="single"/>
                </w:rPr>
                <w:t xml:space="preserve">hal-05541917v1</w:t>
              </w:r>
            </w:hyperlink>
          </w:p>
        </w:tc>
      </w:tr>
      <w:tr>
        <w:trPr/>
        <w:tc>
          <w:tcPr>
            <w:noWrap/>
          </w:tcPr>
          <w:p>
            <w:pPr>
              <w:spacing w:after="200"/>
            </w:pPr>
            <w:hyperlink r:id="rId28" w:history="1">
              <w:r>
                <w:rPr>
                  <w:color w:val="1e198e"/>
                  <w:b w:val="1"/>
                  <w:bCs w:val="1"/>
                  <w:u w:val="single"/>
                </w:rPr>
                <w:t xml:space="preserve">Rédiger en orthographiant : écrire un haïku</w:t>
              </w:r>
            </w:hyperlink>
          </w:p>
          <w:p>
            <w:pPr/>
            <w:hyperlink r:id="rId10" w:history="1">
              <w:r>
                <w:rPr>
                  <w:color w:val="#410a8c"/>
                  <w:u w:val="single"/>
                </w:rPr>
                <w:t xml:space="preserve">Virginie Chrétien</w:t>
              </w:r>
            </w:hyperlink>
          </w:p>
          <w:p>
            <w:pPr/>
            <w:r>
              <w:rPr>
                <w:i w:val="1"/>
                <w:iCs w:val="1"/>
              </w:rPr>
              <w:t xml:space="preserve">Rédiger en orthographiant</w:t>
            </w:r>
            <w:r>
              <w:rPr/>
              <w:t xml:space="preserve">, </w:t>
            </w:r>
            <w:hyperlink r:id="rId29" w:history="1">
              <w:r>
                <w:rPr>
                  <w:color w:val="#410a8c"/>
                  <w:u w:val="single"/>
                </w:rPr>
                <w:t xml:space="preserve">Canopé</w:t>
              </w:r>
            </w:hyperlink>
            <w:r>
              <w:rPr/>
              <w:t xml:space="preserve">, 2015, 978-2-86623-576-5</w:t>
            </w:r>
          </w:p>
          <w:p>
            <w:pPr/>
            <w:r>
              <w:rPr/>
              <w:t xml:space="preserve">Chapitre d'ouvrage</w:t>
            </w:r>
          </w:p>
          <w:p>
            <w:pPr/>
            <w:hyperlink r:id="rId28" w:history="1">
              <w:r>
                <w:rPr>
                  <w:color w:val="#410a8c"/>
                  <w:u w:val="single"/>
                </w:rPr>
                <w:t xml:space="preserve">hal-05541995v1</w:t>
              </w:r>
            </w:hyperlink>
          </w:p>
        </w:tc>
      </w:tr>
    </w:tbl>
    <w:sectPr>
      <w:footerReference w:type="default" r:id="rId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ABA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eren-revues.fr/mosaique/201" TargetMode="External"/><Relationship Id="rId8" Type="http://schemas.openxmlformats.org/officeDocument/2006/relationships/hyperlink" Target="https://doi.org/10.3917/etsoc.182.0203" TargetMode="External"/><Relationship Id="rId9" Type="http://schemas.openxmlformats.org/officeDocument/2006/relationships/hyperlink" Target="https://hal.science/hal-05541897v1" TargetMode="External"/><Relationship Id="rId10" Type="http://schemas.openxmlformats.org/officeDocument/2006/relationships/hyperlink" Target="https://hal.science/search/index/?q=*&amp;authFullName_s=Virginie Chr&#233;tien" TargetMode="External"/><Relationship Id="rId11" Type="http://schemas.openxmlformats.org/officeDocument/2006/relationships/hyperlink" Target="https://hal.science/hal-05541885v1" TargetMode="External"/><Relationship Id="rId12" Type="http://schemas.openxmlformats.org/officeDocument/2006/relationships/hyperlink" Target="https://dx.doi.org/10.3917/etsoc.182.0203" TargetMode="External"/><Relationship Id="rId13" Type="http://schemas.openxmlformats.org/officeDocument/2006/relationships/hyperlink" Target="https://hal.science/hal-05452747v1" TargetMode="External"/><Relationship Id="rId14" Type="http://schemas.openxmlformats.org/officeDocument/2006/relationships/hyperlink" Target="https://hal.science/hal-05389013v1" TargetMode="External"/><Relationship Id="rId15" Type="http://schemas.openxmlformats.org/officeDocument/2006/relationships/hyperlink" Target="https://hal.science/hal-05388826v1" TargetMode="External"/><Relationship Id="rId16" Type="http://schemas.openxmlformats.org/officeDocument/2006/relationships/hyperlink" Target="https://hal.science/hal-05400392v1" TargetMode="External"/><Relationship Id="rId17" Type="http://schemas.openxmlformats.org/officeDocument/2006/relationships/hyperlink" Target="https://hal.science/search/index/?q=*&amp;authFullName_s=Nassim El Kabli" TargetMode="External"/><Relationship Id="rId18" Type="http://schemas.openxmlformats.org/officeDocument/2006/relationships/hyperlink" Target="https://hal.science/search/index/?q=*&amp;authFullName_s=Camille Roelens" TargetMode="External"/><Relationship Id="rId19" Type="http://schemas.openxmlformats.org/officeDocument/2006/relationships/hyperlink" Target="https://hal.science/search/index/?q=*&amp;authFullName_s=Maxime Decout" TargetMode="External"/><Relationship Id="rId20" Type="http://schemas.openxmlformats.org/officeDocument/2006/relationships/hyperlink" Target="https://hal.science/hal-05389476v1" TargetMode="External"/><Relationship Id="rId21" Type="http://schemas.openxmlformats.org/officeDocument/2006/relationships/hyperlink" Target="https://hal.science/search/index/?q=*&amp;authFullName_s=Rou Chen" TargetMode="External"/><Relationship Id="rId22" Type="http://schemas.openxmlformats.org/officeDocument/2006/relationships/hyperlink" Target="https://hal.science/search/index/?q=*&amp;authFullName_s=Ana&#239;s Koptient" TargetMode="External"/><Relationship Id="rId23" Type="http://schemas.openxmlformats.org/officeDocument/2006/relationships/hyperlink" Target="https://hal.science/hal-05400538v1" TargetMode="External"/><Relationship Id="rId24" Type="http://schemas.openxmlformats.org/officeDocument/2006/relationships/hyperlink" Target="https://hal.science/search/index/?q=*&amp;authFullName_s=St&#233;phane Hirschi" TargetMode="External"/><Relationship Id="rId25" Type="http://schemas.openxmlformats.org/officeDocument/2006/relationships/hyperlink" Target="https://hal.science/search/index/?q=*&amp;authFullName_s=Alain Firode" TargetMode="External"/><Relationship Id="rId26" Type="http://schemas.openxmlformats.org/officeDocument/2006/relationships/hyperlink" Target="https://hal.science/search/index/?q=*&amp;authFullName_s=S&#233;bastien Charbonnier" TargetMode="External"/><Relationship Id="rId27" Type="http://schemas.openxmlformats.org/officeDocument/2006/relationships/hyperlink" Target="https://hal.science/hal-05541917v1" TargetMode="External"/><Relationship Id="rId28" Type="http://schemas.openxmlformats.org/officeDocument/2006/relationships/hyperlink" Target="https://hal.science/hal-05541995v1" TargetMode="External"/><Relationship Id="rId29" Type="http://schemas.openxmlformats.org/officeDocument/2006/relationships/hyperlink" Target="https://www.lalibrairie.com/livres/rediger-en-orthographiant--ecole-elementaire-du-cp-au-cm2_0-2587264_9782866235765.html"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Virginie Chrétien</dc:title>
  <dc:description>CV</dc:description>
  <dc:subject/>
  <cp:keywords/>
  <cp:category/>
  <cp:lastModifiedBy/>
  <dcterms:created xsi:type="dcterms:W3CDTF">2026-05-14T08:19:45+02:00</dcterms:created>
  <dcterms:modified xsi:type="dcterms:W3CDTF">2026-05-14T08:19:45+02:00</dcterms:modified>
</cp:coreProperties>
</file>

<file path=docProps/custom.xml><?xml version="1.0" encoding="utf-8"?>
<Properties xmlns="http://schemas.openxmlformats.org/officeDocument/2006/custom-properties" xmlns:vt="http://schemas.openxmlformats.org/officeDocument/2006/docPropsVTypes"/>
</file>