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zones d’activités à dominante commerciale au prisme des questions d’urbanité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⟨10.58079/136f7⟩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ZAE à dominante commerciale en France au prisme des questions d'urbanité : un essai d'itinéraire méthodologique.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</w:t>
            </w:r>
            <w:r>
              <w:rPr/>
              <w:t xml:space="preserve">, CNRS - université de Tours,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hal-05512378v1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325v1" TargetMode="External"/><Relationship Id="rId8" Type="http://schemas.openxmlformats.org/officeDocument/2006/relationships/hyperlink" Target="https://hal.science/search/index/?q=*&amp;authFullName_s=Xavier Andr&#233;" TargetMode="External"/><Relationship Id="rId9" Type="http://schemas.openxmlformats.org/officeDocument/2006/relationships/hyperlink" Target="https://dx.doi.org/10.58079/136f7" TargetMode="External"/><Relationship Id="rId10" Type="http://schemas.openxmlformats.org/officeDocument/2006/relationships/hyperlink" Target="https://hal.science/hal-0551237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André</dc:title>
  <dc:description>CV</dc:description>
  <dc:subject/>
  <cp:keywords/>
  <cp:category/>
  <cp:lastModifiedBy/>
  <dcterms:created xsi:type="dcterms:W3CDTF">2026-05-10T03:46:28+02:00</dcterms:created>
  <dcterms:modified xsi:type="dcterms:W3CDTF">2026-05-10T03:46:28+02:00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