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Yael Armangau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Doctorant en sociologie</w:t>
      </w:r>
      <w:r>
        <w:rPr/>
        <w:t xml:space="preserve"> dirigé par Michel GROSSETTI (directeur de recherche CNRS LISST/Cers) et Julien FIGEAC (chargé de recherche CNRS LISST/Cers). Titre de la thèse : </w:t>
      </w:r>
      <w:r>
        <w:rPr>
          <w:b w:val="1"/>
          <w:bCs w:val="1"/>
        </w:rPr>
        <w:t xml:space="preserve">« Bifurcations de genre : épreuves et réseaux de soutien des personnes trans. »</w:t>
      </w:r>
    </w:p>
    <w:p>
      <w:pPr/>
      <w:r>
        <w:rPr>
          <w:b w:val="1"/>
          <w:bCs w:val="1"/>
        </w:rPr>
        <w:t xml:space="preserve">Résumé de la thèse :</w:t>
      </w:r>
      <w:r>
        <w:rPr/>
        <w:t xml:space="preserve"> Cette thèse questionne les effets des parcours de transition de genre sur les liens sociaux, à partir d’une méthode mixte mobilisant entretiens, questionnaires et ethnographie en ligne. Elle envisage l’entrée en transition comme une bifurcation biographique, amorçant un processus de disqualification sociale susceptible de fragiliser ou de rompre les liens sociaux. L’analyse des annonces de la transition (coming-out) marque une première fragilisation, souvent suivie par l’expérience d’un continuum de violences (morales, médicales ou sexuelles) qui s’exercent dans l’ensemble des sphères sociales. Si ce processus de disqualification sociale est ancré dans le cisgenrisme, son intensité varie selon les rapports sociaux qui structurent ces trajectoires : certaines personnes vivent une disqualification intense, cumulant les ruptures et l’absence de soutien, tandis que d’autres en sont relativement protégé·es.</w:t>
      </w:r>
    </w:p>
    <w:p>
      <w:pPr/>
      <w:r>
        <w:rPr/>
        <w:t xml:space="preserve">Ce travail cherche à mieux comprendre comment les personnes trans accèdent au soutien social en lien avec leur transitude après cette première phase de disqualification ; aussi bien depuis le renouvellement des ressources relationnelles que depuis la fréquentation d’espaces en ligne. Il révèle quels sont les liens sociaux qui assurent un soutien émotionnel, informationnel, instrumental ou de mise en réseau lors des différents temps qui rythment une transition. Ainsi, les personnes trans s’équipent pour faire face au cisgenrisme aussi bien par une redistribution des soutiens et des attaches sociales que par une réification des rôles relationnels, en particulier ceux des mères.</w:t>
      </w:r>
    </w:p>
    <w:p>
      <w:pPr/>
      <w:r>
        <w:rPr/>
        <w:t xml:space="preserve">Cette thèse introduit la notion de « care trans » afin de qualifier les formes spécifiques de soutien développées dans les espaces de sociabilité trans (aussi bien hors ligne qu’en ligne), marqués par l’écoute, la réciprocité et la co-construction d’alternatives aux modèles de solidarité traditionnels. Ce « care trans », bien qu’inégalement accessible et structuré lui-aussi par des rapports de domination, constitue une réponse collective aux expériences de la disqualification. En filigrane, cette thèse invite à repenser la solidarité sociale en apportant une attention particulière aux manières dont certaines présences, parfois ténues ou ambivalentes, rendent possible de « tenir » dans le temps.</w:t>
      </w:r>
    </w:p>
    <w:p>
      <w:pPr/>
      <w:r>
        <w:rPr/>
        <w:t xml:space="preserve">Pour conclure, la thèse souligne ainsi que si la transitude renvoie à une expérience de disqualification sociale marquée par des ruptures et des violences, cette expérience est également un terrain de réinvention des liens sociaux, par l’émergence de nouvelles formes de présences et de manières de prendre soin. En articulant les apports des études trans avec ceux de la sociologie des parcours de vie, des réseaux, du numérique et du genre, cette recherche contribue à une compréhension plus fine des mécanismes de solidarité et d’exclusion sociale, tout en invitant à ne pas homogénéiser des réalités façonnées par les rapports sociaux (en particulier d’âge et de genre).</w:t>
      </w:r>
    </w:p>
    <w:p>
      <w:pPr/>
      <w:r>
        <w:rPr>
          <w:b w:val="1"/>
          <w:bCs w:val="1"/>
        </w:rPr>
        <w:t xml:space="preserve">Mots-clés :</w:t>
      </w:r>
      <w:r>
        <w:rPr/>
        <w:t xml:space="preserve"> études trans ; soutien social ; réseaux sociaux numériques ; liens sociaux ; genre ; care trans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 Le Printemps des études trans</w:t>
              </w:r>
            </w:hyperlink>
          </w:p>
          <w:p>
            <w:pPr/>
            <w:hyperlink r:id="rId8" w:history="1">
              <w:r>
                <w:rPr>
                  <w:color w:val="#410a8c"/>
                  <w:u w:val="single"/>
                </w:rPr>
                <w:t xml:space="preserve">Yael Armangau</w:t>
              </w:r>
            </w:hyperlink>
            <w:r>
              <w:rPr/>
              <w:t xml:space="preserve">,</w:t>
            </w:r>
            <w:hyperlink r:id="rId9" w:history="1">
              <w:r>
                <w:rPr>
                  <w:color w:val="#410a8c"/>
                  <w:u w:val="single"/>
                </w:rPr>
                <w:t xml:space="preserve">Clark Pignedoli</w:t>
              </w:r>
            </w:hyperlink>
            <w:r>
              <w:rPr/>
              <w:t xml:space="preserve">,</w:t>
            </w:r>
            <w:hyperlink r:id="rId10" w:history="1">
              <w:r>
                <w:rPr>
                  <w:color w:val="#410a8c"/>
                  <w:u w:val="single"/>
                </w:rPr>
                <w:t xml:space="preserve">Néo Gaudy</w:t>
              </w:r>
            </w:hyperlink>
            <w:r>
              <w:rPr/>
              <w:t xml:space="preserve">,</w:t>
            </w:r>
            <w:hyperlink r:id="rId11" w:history="1">
              <w:r>
                <w:rPr>
                  <w:color w:val="#410a8c"/>
                  <w:u w:val="single"/>
                </w:rPr>
                <w:t xml:space="preserve">Ruby Faure</w:t>
              </w:r>
            </w:hyperlink>
          </w:p>
          <w:p>
            <w:pPr/>
            <w:r>
              <w:rPr>
                <w:i w:val="1"/>
                <w:iCs w:val="1"/>
              </w:rPr>
              <w:t xml:space="preserve">Cahiers du CEDREF</w:t>
            </w:r>
            <w:r>
              <w:rPr/>
              <w:t xml:space="preserve">, 2025, 28, </w:t>
            </w:r>
            <w:hyperlink r:id="rId12" w:history="1">
              <w:r>
                <w:rPr>
                  <w:color w:val="#410a8c"/>
                  <w:u w:val="single"/>
                </w:rPr>
                <w:t xml:space="preserve">⟨10.4000/15ex6⟩</w:t>
              </w:r>
            </w:hyperlink>
          </w:p>
          <w:p>
            <w:pPr/>
            <w:r>
              <w:rPr/>
              <w:t xml:space="preserve">Article dans une revue</w:t>
            </w:r>
          </w:p>
          <w:p>
            <w:pPr/>
            <w:hyperlink r:id="rId7" w:history="1">
              <w:r>
                <w:rPr>
                  <w:color w:val="#410a8c"/>
                  <w:u w:val="single"/>
                </w:rPr>
                <w:t xml:space="preserve">hal-05459097v1</w:t>
              </w:r>
            </w:hyperlink>
          </w:p>
        </w:tc>
      </w:tr>
      <w:tr>
        <w:trPr/>
        <w:tc>
          <w:tcPr>
            <w:noWrap/>
          </w:tcPr>
          <w:p>
            <w:pPr>
              <w:spacing w:after="200"/>
            </w:pPr>
            <w:hyperlink r:id="rId13" w:history="1">
              <w:r>
                <w:rPr>
                  <w:color w:val="1e198e"/>
                  <w:b w:val="1"/>
                  <w:bCs w:val="1"/>
                  <w:u w:val="single"/>
                </w:rPr>
                <w:t xml:space="preserve">Enfances Trans et Intersexes</w:t>
              </w:r>
            </w:hyperlink>
          </w:p>
          <w:p>
            <w:pPr/>
            <w:hyperlink r:id="rId14" w:history="1">
              <w:r>
                <w:rPr>
                  <w:color w:val="#410a8c"/>
                  <w:u w:val="single"/>
                </w:rPr>
                <w:t xml:space="preserve">Faure Ruby</w:t>
              </w:r>
            </w:hyperlink>
            <w:r>
              <w:rPr/>
              <w:t xml:space="preserve">,</w:t>
            </w:r>
            <w:hyperlink r:id="rId8" w:history="1">
              <w:r>
                <w:rPr>
                  <w:color w:val="#410a8c"/>
                  <w:u w:val="single"/>
                </w:rPr>
                <w:t xml:space="preserve">Yael Armangau</w:t>
              </w:r>
            </w:hyperlink>
            <w:r>
              <w:rPr/>
              <w:t xml:space="preserve">,</w:t>
            </w:r>
            <w:hyperlink r:id="rId15" w:history="1">
              <w:r>
                <w:rPr>
                  <w:color w:val="#410a8c"/>
                  <w:u w:val="single"/>
                </w:rPr>
                <w:t xml:space="preserve">Loé Petit</w:t>
              </w:r>
            </w:hyperlink>
            <w:r>
              <w:rPr/>
              <w:t xml:space="preserve">,</w:t>
            </w:r>
            <w:hyperlink r:id="rId16" w:history="1">
              <w:r>
                <w:rPr>
                  <w:color w:val="#410a8c"/>
                  <w:u w:val="single"/>
                </w:rPr>
                <w:t xml:space="preserve">Mael Le Bars</w:t>
              </w:r>
            </w:hyperlink>
          </w:p>
          <w:p>
            <w:pPr/>
            <w:r>
              <w:rPr>
                <w:i w:val="1"/>
                <w:iCs w:val="1"/>
              </w:rPr>
              <w:t xml:space="preserve">Journal des anthropologues</w:t>
            </w:r>
            <w:r>
              <w:rPr/>
              <w:t xml:space="preserve">, 2024, Face à l’injonction participative, 178-179, pp.217-221. </w:t>
            </w:r>
            <w:hyperlink r:id="rId17" w:history="1">
              <w:r>
                <w:rPr>
                  <w:color w:val="#410a8c"/>
                  <w:u w:val="single"/>
                </w:rPr>
                <w:t xml:space="preserve">⟨10.4000/13mrr⟩</w:t>
              </w:r>
            </w:hyperlink>
          </w:p>
          <w:p>
            <w:pPr/>
            <w:r>
              <w:rPr/>
              <w:t xml:space="preserve">Article dans une revue</w:t>
            </w:r>
          </w:p>
          <w:p>
            <w:pPr/>
            <w:hyperlink r:id="rId13" w:history="1">
              <w:r>
                <w:rPr>
                  <w:color w:val="#410a8c"/>
                  <w:u w:val="single"/>
                </w:rPr>
                <w:t xml:space="preserve">halshs-05031495v1</w:t>
              </w:r>
            </w:hyperlink>
          </w:p>
        </w:tc>
      </w:tr>
      <w:tr>
        <w:trPr/>
        <w:tc>
          <w:tcPr>
            <w:noWrap/>
          </w:tcPr>
          <w:p>
            <w:pPr>
              <w:spacing w:after="200"/>
            </w:pPr>
            <w:hyperlink r:id="rId18" w:history="1">
              <w:r>
                <w:rPr>
                  <w:color w:val="1e198e"/>
                  <w:b w:val="1"/>
                  <w:bCs w:val="1"/>
                  <w:u w:val="single"/>
                </w:rPr>
                <w:t xml:space="preserve">« Bonjour tout le monde […]. J’ai besoin d’écrire ce message pour trouver du soutien » : soutien en ligne et éthique du care trans</w:t>
              </w:r>
            </w:hyperlink>
          </w:p>
          <w:p>
            <w:pPr/>
            <w:hyperlink r:id="rId8" w:history="1">
              <w:r>
                <w:rPr>
                  <w:color w:val="#410a8c"/>
                  <w:u w:val="single"/>
                </w:rPr>
                <w:t xml:space="preserve">Yael Armangau</w:t>
              </w:r>
            </w:hyperlink>
          </w:p>
          <w:p>
            <w:pPr/>
            <w:r>
              <w:rPr>
                <w:i w:val="1"/>
                <w:iCs w:val="1"/>
              </w:rPr>
              <w:t xml:space="preserve">Questions de communication</w:t>
            </w:r>
            <w:r>
              <w:rPr/>
              <w:t xml:space="preserve">, 2023, Soutien social et pair-aidance numériques Entre pouvoir d'agir et instrumentalisation, 43, pp.61-80. </w:t>
            </w:r>
            <w:hyperlink r:id="rId19" w:history="1">
              <w:r>
                <w:rPr>
                  <w:color w:val="#410a8c"/>
                  <w:u w:val="single"/>
                </w:rPr>
                <w:t xml:space="preserve">⟨10.4000/questionsdecommunication.31210⟩</w:t>
              </w:r>
            </w:hyperlink>
          </w:p>
          <w:p>
            <w:pPr/>
            <w:r>
              <w:rPr/>
              <w:t xml:space="preserve">Article dans une revue</w:t>
            </w:r>
          </w:p>
          <w:p>
            <w:pPr/>
            <w:hyperlink r:id="rId18" w:history="1">
              <w:r>
                <w:rPr>
                  <w:color w:val="#410a8c"/>
                  <w:u w:val="single"/>
                </w:rPr>
                <w:t xml:space="preserve">hal-04580017v1</w:t>
              </w:r>
            </w:hyperlink>
          </w:p>
        </w:tc>
      </w:tr>
      <w:tr>
        <w:trPr/>
        <w:tc>
          <w:tcPr>
            <w:noWrap/>
          </w:tcPr>
          <w:p>
            <w:pPr>
              <w:spacing w:after="200"/>
            </w:pPr>
            <w:hyperlink r:id="rId20" w:history="1">
              <w:r>
                <w:rPr>
                  <w:color w:val="1e198e"/>
                  <w:b w:val="1"/>
                  <w:bCs w:val="1"/>
                  <w:u w:val="single"/>
                </w:rPr>
                <w:t xml:space="preserve">Les formes de la solidarité sociale dans les groupes Facebook trans</w:t>
              </w:r>
            </w:hyperlink>
          </w:p>
          <w:p>
            <w:pPr/>
            <w:hyperlink r:id="rId8" w:history="1">
              <w:r>
                <w:rPr>
                  <w:color w:val="#410a8c"/>
                  <w:u w:val="single"/>
                </w:rPr>
                <w:t xml:space="preserve">Yael Armangau</w:t>
              </w:r>
            </w:hyperlink>
            <w:r>
              <w:rPr/>
              <w:t xml:space="preserve">,</w:t>
            </w:r>
            <w:hyperlink r:id="rId21" w:history="1">
              <w:r>
                <w:rPr>
                  <w:color w:val="#410a8c"/>
                  <w:u w:val="single"/>
                </w:rPr>
                <w:t xml:space="preserve">Julien Figeac</w:t>
              </w:r>
            </w:hyperlink>
          </w:p>
          <w:p>
            <w:pPr/>
            <w:r>
              <w:rPr>
                <w:i w:val="1"/>
                <w:iCs w:val="1"/>
              </w:rPr>
              <w:t xml:space="preserve">Réseaux : communication, technologie, société</w:t>
            </w:r>
            <w:r>
              <w:rPr/>
              <w:t xml:space="preserve">, 2023, 6 (242), pp.205-238. </w:t>
            </w:r>
            <w:hyperlink r:id="rId22" w:history="1">
              <w:r>
                <w:rPr>
                  <w:color w:val="#410a8c"/>
                  <w:u w:val="single"/>
                </w:rPr>
                <w:t xml:space="preserve">⟨10.3917/res.242.0205⟩</w:t>
              </w:r>
            </w:hyperlink>
          </w:p>
          <w:p>
            <w:pPr/>
            <w:r>
              <w:rPr/>
              <w:t xml:space="preserve">Article dans une revue</w:t>
            </w:r>
          </w:p>
          <w:p>
            <w:pPr/>
            <w:hyperlink r:id="rId20" w:history="1">
              <w:r>
                <w:rPr>
                  <w:color w:val="#410a8c"/>
                  <w:u w:val="single"/>
                </w:rPr>
                <w:t xml:space="preserve">halshs-04191375v1</w:t>
              </w:r>
            </w:hyperlink>
          </w:p>
        </w:tc>
      </w:tr>
      <w:tr>
        <w:trPr/>
        <w:tc>
          <w:tcPr>
            <w:noWrap/>
          </w:tcPr>
          <w:p>
            <w:pPr>
              <w:spacing w:after="200"/>
            </w:pPr>
            <w:hyperlink r:id="rId23" w:history="1">
              <w:r>
                <w:rPr>
                  <w:color w:val="1e198e"/>
                  <w:b w:val="1"/>
                  <w:bCs w:val="1"/>
                  <w:u w:val="single"/>
                </w:rPr>
                <w:t xml:space="preserve">Objets et production de genre. L’usage des techniques par les personnes transmasculines</w:t>
              </w:r>
            </w:hyperlink>
          </w:p>
          <w:p>
            <w:pPr/>
            <w:hyperlink r:id="rId8" w:history="1">
              <w:r>
                <w:rPr>
                  <w:color w:val="#410a8c"/>
                  <w:u w:val="single"/>
                </w:rPr>
                <w:t xml:space="preserve">Yael Armangau</w:t>
              </w:r>
            </w:hyperlink>
          </w:p>
          <w:p>
            <w:pPr/>
            <w:r>
              <w:rPr>
                <w:i w:val="1"/>
                <w:iCs w:val="1"/>
              </w:rPr>
              <w:t xml:space="preserve">Techniques &amp; Culture </w:t>
            </w:r>
            <w:r>
              <w:rPr/>
              <w:t xml:space="preserve">, 2022, 77, pp.94-103. </w:t>
            </w:r>
            <w:hyperlink r:id="rId24" w:history="1">
              <w:r>
                <w:rPr>
                  <w:color w:val="#410a8c"/>
                  <w:u w:val="single"/>
                </w:rPr>
                <w:t xml:space="preserve">⟨10.4000/tc.17427⟩</w:t>
              </w:r>
            </w:hyperlink>
          </w:p>
          <w:p>
            <w:pPr/>
            <w:r>
              <w:rPr/>
              <w:t xml:space="preserve">Article dans une revue</w:t>
            </w:r>
          </w:p>
          <w:p>
            <w:pPr/>
            <w:hyperlink r:id="rId23" w:history="1">
              <w:r>
                <w:rPr>
                  <w:color w:val="#410a8c"/>
                  <w:u w:val="single"/>
                </w:rPr>
                <w:t xml:space="preserve">hal-03754783v1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Social Support Networks within Transgender Facebook Groups: Facing a “Therapeutic Shield” in France</w:t>
              </w:r>
            </w:hyperlink>
          </w:p>
          <w:p>
            <w:pPr/>
            <w:hyperlink r:id="rId8" w:history="1">
              <w:r>
                <w:rPr>
                  <w:color w:val="#410a8c"/>
                  <w:u w:val="single"/>
                </w:rPr>
                <w:t xml:space="preserve">Yael Armangau</w:t>
              </w:r>
            </w:hyperlink>
            <w:r>
              <w:rPr/>
              <w:t xml:space="preserve">,</w:t>
            </w:r>
            <w:hyperlink r:id="rId21" w:history="1">
              <w:r>
                <w:rPr>
                  <w:color w:val="#410a8c"/>
                  <w:u w:val="single"/>
                </w:rPr>
                <w:t xml:space="preserve">Julien Figeac</w:t>
              </w:r>
            </w:hyperlink>
          </w:p>
          <w:p>
            <w:pPr/>
            <w:r>
              <w:rPr/>
              <w:t xml:space="preserve">Austin H. Johnson; Baker A. Rogers; Tiffany Taylor. </w:t>
            </w:r>
            <w:r>
              <w:rPr>
                <w:i w:val="1"/>
                <w:iCs w:val="1"/>
              </w:rPr>
              <w:t xml:space="preserve">Advances in Trans Studies: Moving Toward Gender Expansion and Trans Hope</w:t>
            </w:r>
            <w:r>
              <w:rPr/>
              <w:t xml:space="preserve">, 32, Emerald Publishing Limited, pp.207-222, 2021, Advances in Gender Research, 978-1-80262-030-6. </w:t>
            </w:r>
            <w:hyperlink r:id="rId26" w:history="1">
              <w:r>
                <w:rPr>
                  <w:color w:val="#410a8c"/>
                  <w:u w:val="single"/>
                </w:rPr>
                <w:t xml:space="preserve">⟨10.1108/S1529-212620210000032014⟩</w:t>
              </w:r>
            </w:hyperlink>
          </w:p>
          <w:p>
            <w:pPr/>
            <w:r>
              <w:rPr/>
              <w:t xml:space="preserve">Chapitre d'ouvrage</w:t>
            </w:r>
          </w:p>
          <w:p>
            <w:pPr/>
            <w:hyperlink r:id="rId25" w:history="1">
              <w:r>
                <w:rPr>
                  <w:color w:val="#410a8c"/>
                  <w:u w:val="single"/>
                </w:rPr>
                <w:t xml:space="preserve">hal-03417780v1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Entre critique des institutions et perspectives d’empowerment : L’usage des groupes facebook en non-mixité trans comme outil intra-communautaire</w:t>
              </w:r>
            </w:hyperlink>
          </w:p>
          <w:p>
            <w:pPr/>
            <w:hyperlink r:id="rId8" w:history="1">
              <w:r>
                <w:rPr>
                  <w:color w:val="#410a8c"/>
                  <w:u w:val="single"/>
                </w:rPr>
                <w:t xml:space="preserve">Yael Armangau</w:t>
              </w:r>
            </w:hyperlink>
          </w:p>
          <w:p>
            <w:pPr/>
            <w:r>
              <w:rPr>
                <w:i w:val="1"/>
                <w:iCs w:val="1"/>
              </w:rPr>
              <w:t xml:space="preserve">Converging Crises in Transgender Activism, Health, and Rights in 2021</w:t>
            </w:r>
            <w:r>
              <w:rPr/>
              <w:t xml:space="preserve">, Transgender Professional Association for Transgender Health (TPATH), Jul 2021, En ligne, États-Unis</w:t>
            </w:r>
          </w:p>
          <w:p>
            <w:pPr/>
            <w:r>
              <w:rPr/>
              <w:t xml:space="preserve">Communication dans un congrès</w:t>
            </w:r>
          </w:p>
          <w:p>
            <w:pPr/>
            <w:hyperlink r:id="rId27" w:history="1">
              <w:r>
                <w:rPr>
                  <w:color w:val="#410a8c"/>
                  <w:u w:val="single"/>
                </w:rPr>
                <w:t xml:space="preserve">hal-03375215v1</w:t>
              </w:r>
            </w:hyperlink>
          </w:p>
        </w:tc>
      </w:tr>
      <w:tr>
        <w:trPr/>
        <w:tc>
          <w:tcPr>
            <w:noWrap/>
          </w:tcPr>
          <w:p>
            <w:pPr>
              <w:spacing w:after="200"/>
            </w:pPr>
            <w:hyperlink r:id="rId28" w:history="1">
              <w:r>
                <w:rPr>
                  <w:color w:val="1e198e"/>
                  <w:b w:val="1"/>
                  <w:bCs w:val="1"/>
                  <w:u w:val="single"/>
                </w:rPr>
                <w:t xml:space="preserve">Social support networks within transgender Facebook groups: facing a “therapeutic shield” in France.</w:t>
              </w:r>
            </w:hyperlink>
          </w:p>
          <w:p>
            <w:pPr/>
            <w:hyperlink r:id="rId8" w:history="1">
              <w:r>
                <w:rPr>
                  <w:color w:val="#410a8c"/>
                  <w:u w:val="single"/>
                </w:rPr>
                <w:t xml:space="preserve">Yael Armangau</w:t>
              </w:r>
            </w:hyperlink>
            <w:r>
              <w:rPr/>
              <w:t xml:space="preserve">,</w:t>
            </w:r>
            <w:hyperlink r:id="rId21" w:history="1">
              <w:r>
                <w:rPr>
                  <w:color w:val="#410a8c"/>
                  <w:u w:val="single"/>
                </w:rPr>
                <w:t xml:space="preserve">Julien Figeac</w:t>
              </w:r>
            </w:hyperlink>
          </w:p>
          <w:p>
            <w:pPr/>
            <w:r>
              <w:rPr>
                <w:i w:val="1"/>
                <w:iCs w:val="1"/>
              </w:rPr>
              <w:t xml:space="preserve">Sunbelt XLI. Networks 2021: A Joint Sunbelt and Netsci Conference</w:t>
            </w:r>
            <w:r>
              <w:rPr/>
              <w:t xml:space="preserve">, Jul 2021, Online, United States</w:t>
            </w:r>
          </w:p>
          <w:p>
            <w:pPr/>
            <w:r>
              <w:rPr/>
              <w:t xml:space="preserve">Communication dans un congrès</w:t>
            </w:r>
          </w:p>
          <w:p>
            <w:pPr/>
            <w:hyperlink r:id="rId28" w:history="1">
              <w:r>
                <w:rPr>
                  <w:color w:val="#410a8c"/>
                  <w:u w:val="single"/>
                </w:rPr>
                <w:t xml:space="preserve">hal-03297849v1</w:t>
              </w:r>
            </w:hyperlink>
          </w:p>
        </w:tc>
      </w:tr>
      <w:tr>
        <w:trPr/>
        <w:tc>
          <w:tcPr>
            <w:noWrap/>
          </w:tcPr>
          <w:p>
            <w:pPr>
              <w:spacing w:after="200"/>
            </w:pPr>
            <w:hyperlink r:id="rId29" w:history="1">
              <w:r>
                <w:rPr>
                  <w:color w:val="1e198e"/>
                  <w:b w:val="1"/>
                  <w:bCs w:val="1"/>
                  <w:u w:val="single"/>
                </w:rPr>
                <w:t xml:space="preserve">L'usage des techniques par les personnes transmasculines : quand les objets et leurs détournements produisent le genre</w:t>
              </w:r>
            </w:hyperlink>
          </w:p>
          <w:p>
            <w:pPr/>
            <w:hyperlink r:id="rId8" w:history="1">
              <w:r>
                <w:rPr>
                  <w:color w:val="#410a8c"/>
                  <w:u w:val="single"/>
                </w:rPr>
                <w:t xml:space="preserve">Yael Armangau</w:t>
              </w:r>
            </w:hyperlink>
          </w:p>
          <w:p>
            <w:pPr/>
            <w:r>
              <w:rPr>
                <w:i w:val="1"/>
                <w:iCs w:val="1"/>
              </w:rPr>
              <w:t xml:space="preserve">Rencontres Techniques&amp;Culture n°7 : Ce que fabrique le genre</w:t>
            </w:r>
            <w:r>
              <w:rPr/>
              <w:t xml:space="preserve">, Feb 2021, Marseille, France</w:t>
            </w:r>
          </w:p>
          <w:p>
            <w:pPr/>
            <w:r>
              <w:rPr/>
              <w:t xml:space="preserve">Communication dans un congrès</w:t>
            </w:r>
          </w:p>
          <w:p>
            <w:pPr/>
            <w:hyperlink r:id="rId29" w:history="1">
              <w:r>
                <w:rPr>
                  <w:color w:val="#410a8c"/>
                  <w:u w:val="single"/>
                </w:rPr>
                <w:t xml:space="preserve">hal-03298250v1</w:t>
              </w:r>
            </w:hyperlink>
          </w:p>
        </w:tc>
      </w:tr>
      <w:tr>
        <w:trPr/>
        <w:tc>
          <w:tcPr>
            <w:noWrap/>
          </w:tcPr>
          <w:p>
            <w:pPr>
              <w:spacing w:after="200"/>
            </w:pPr>
            <w:hyperlink r:id="rId30" w:history="1">
              <w:r>
                <w:rPr>
                  <w:color w:val="1e198e"/>
                  <w:b w:val="1"/>
                  <w:bCs w:val="1"/>
                  <w:u w:val="single"/>
                </w:rPr>
                <w:t xml:space="preserve">Beyond the traditional bifurcations: starting a gender transition as a biographical event</w:t>
              </w:r>
            </w:hyperlink>
          </w:p>
          <w:p>
            <w:pPr/>
            <w:hyperlink r:id="rId8" w:history="1">
              <w:r>
                <w:rPr>
                  <w:color w:val="#410a8c"/>
                  <w:u w:val="single"/>
                </w:rPr>
                <w:t xml:space="preserve">Yael Armangau</w:t>
              </w:r>
            </w:hyperlink>
          </w:p>
          <w:p>
            <w:pPr/>
            <w:r>
              <w:rPr>
                <w:i w:val="1"/>
                <w:iCs w:val="1"/>
              </w:rPr>
              <w:t xml:space="preserve">Sunbelt virtual conference</w:t>
            </w:r>
            <w:r>
              <w:rPr/>
              <w:t xml:space="preserve">, Jul 2020, Paris, France</w:t>
            </w:r>
          </w:p>
          <w:p>
            <w:pPr/>
            <w:r>
              <w:rPr/>
              <w:t xml:space="preserve">Communication dans un congrès</w:t>
            </w:r>
          </w:p>
          <w:p>
            <w:pPr/>
            <w:hyperlink r:id="rId30" w:history="1">
              <w:r>
                <w:rPr>
                  <w:color w:val="#410a8c"/>
                  <w:u w:val="single"/>
                </w:rPr>
                <w:t xml:space="preserve">hal-03116884v1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9097v1" TargetMode="External"/><Relationship Id="rId8" Type="http://schemas.openxmlformats.org/officeDocument/2006/relationships/hyperlink" Target="https://hal.science/search/index/?q=*&amp;authFullName_s=Yael Armangau" TargetMode="External"/><Relationship Id="rId9" Type="http://schemas.openxmlformats.org/officeDocument/2006/relationships/hyperlink" Target="https://hal.science/search/index/?q=*&amp;authFullName_s=Clark Pignedoli" TargetMode="External"/><Relationship Id="rId10" Type="http://schemas.openxmlformats.org/officeDocument/2006/relationships/hyperlink" Target="https://hal.science/search/index/?q=*&amp;authFullName_s=N&#233;o Gaudy" TargetMode="External"/><Relationship Id="rId11" Type="http://schemas.openxmlformats.org/officeDocument/2006/relationships/hyperlink" Target="https://hal.science/search/index/?q=*&amp;authFullName_s=Ruby Faure" TargetMode="External"/><Relationship Id="rId12" Type="http://schemas.openxmlformats.org/officeDocument/2006/relationships/hyperlink" Target="https://dx.doi.org/10.4000/15ex6" TargetMode="External"/><Relationship Id="rId13" Type="http://schemas.openxmlformats.org/officeDocument/2006/relationships/hyperlink" Target="https://shs.hal.science/halshs-05031495v1" TargetMode="External"/><Relationship Id="rId14" Type="http://schemas.openxmlformats.org/officeDocument/2006/relationships/hyperlink" Target="https://hal.science/search/index/?q=*&amp;authFullName_s=Faure Ruby" TargetMode="External"/><Relationship Id="rId15" Type="http://schemas.openxmlformats.org/officeDocument/2006/relationships/hyperlink" Target="https://hal.science/search/index/?q=*&amp;authFullName_s=Lo&#233; Petit" TargetMode="External"/><Relationship Id="rId16" Type="http://schemas.openxmlformats.org/officeDocument/2006/relationships/hyperlink" Target="https://hal.science/search/index/?q=*&amp;authFullName_s=Mael Le Bars" TargetMode="External"/><Relationship Id="rId17" Type="http://schemas.openxmlformats.org/officeDocument/2006/relationships/hyperlink" Target="https://dx.doi.org/10.4000/13mrr" TargetMode="External"/><Relationship Id="rId18" Type="http://schemas.openxmlformats.org/officeDocument/2006/relationships/hyperlink" Target="https://hal.science/hal-04580017v1" TargetMode="External"/><Relationship Id="rId19" Type="http://schemas.openxmlformats.org/officeDocument/2006/relationships/hyperlink" Target="https://dx.doi.org/10.4000/questionsdecommunication.31210" TargetMode="External"/><Relationship Id="rId20" Type="http://schemas.openxmlformats.org/officeDocument/2006/relationships/hyperlink" Target="https://shs.hal.science/halshs-04191375v1" TargetMode="External"/><Relationship Id="rId21" Type="http://schemas.openxmlformats.org/officeDocument/2006/relationships/hyperlink" Target="https://hal.science/search/index/?q=*&amp;authFullName_s=Julien Figeac" TargetMode="External"/><Relationship Id="rId22" Type="http://schemas.openxmlformats.org/officeDocument/2006/relationships/hyperlink" Target="https://dx.doi.org/10.3917/res.242.0205" TargetMode="External"/><Relationship Id="rId23" Type="http://schemas.openxmlformats.org/officeDocument/2006/relationships/hyperlink" Target="https://hal.science/hal-03754783v1" TargetMode="External"/><Relationship Id="rId24" Type="http://schemas.openxmlformats.org/officeDocument/2006/relationships/hyperlink" Target="https://dx.doi.org/10.4000/tc.17427" TargetMode="External"/><Relationship Id="rId25" Type="http://schemas.openxmlformats.org/officeDocument/2006/relationships/hyperlink" Target="https://hal.science/hal-03417780v1" TargetMode="External"/><Relationship Id="rId26" Type="http://schemas.openxmlformats.org/officeDocument/2006/relationships/hyperlink" Target="https://dx.doi.org/10.1108/S1529-212620210000032014" TargetMode="External"/><Relationship Id="rId27" Type="http://schemas.openxmlformats.org/officeDocument/2006/relationships/hyperlink" Target="https://hal.science/hal-03375215v1" TargetMode="External"/><Relationship Id="rId28" Type="http://schemas.openxmlformats.org/officeDocument/2006/relationships/hyperlink" Target="https://hal.science/hal-03297849v1" TargetMode="External"/><Relationship Id="rId29" Type="http://schemas.openxmlformats.org/officeDocument/2006/relationships/hyperlink" Target="https://hal.science/hal-03298250v1" TargetMode="External"/><Relationship Id="rId30" Type="http://schemas.openxmlformats.org/officeDocument/2006/relationships/hyperlink" Target="https://hal.science/hal-03116884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Yael Armangau</dc:title>
  <dc:description>CV</dc:description>
  <dc:subject/>
  <cp:keywords/>
  <cp:category/>
  <cp:lastModifiedBy/>
  <dcterms:created xsi:type="dcterms:W3CDTF">2026-03-18T15:03:09+01:00</dcterms:created>
  <dcterms:modified xsi:type="dcterms:W3CDTF">2026-03-18T15:03:09+01:00</dcterms:modified>
</cp:coreProperties>
</file>

<file path=docProps/custom.xml><?xml version="1.0" encoding="utf-8"?>
<Properties xmlns="http://schemas.openxmlformats.org/officeDocument/2006/custom-properties" xmlns:vt="http://schemas.openxmlformats.org/officeDocument/2006/docPropsVTypes"/>
</file>