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Zoi KAISARLI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l'autofiction sur l'éthos de stand-up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Zoi Kaisarli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</w:t>
            </w:r>
            <w:r>
              <w:rPr/>
              <w:t xml:space="preserve">, 2024, 9, pp.149-176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2023 « Le stand-up en France : discours, pratiques et enjeux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Zoi Kaisarli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Sorbonne Université - STIH</w:t>
            </w:r>
            <w:r>
              <w:rPr/>
              <w:t xml:space="preserve">, Nov 2023, Sorbonne -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hal-05114527v1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570v1" TargetMode="External"/><Relationship Id="rId8" Type="http://schemas.openxmlformats.org/officeDocument/2006/relationships/hyperlink" Target="https://hal.science/search/index/?q=*&amp;authFullName_s=Zoi Kaisarli" TargetMode="External"/><Relationship Id="rId9" Type="http://schemas.openxmlformats.org/officeDocument/2006/relationships/hyperlink" Target="https://hal.science/hal-05114527v1" TargetMode="External"/><Relationship Id="rId10" Type="http://schemas.openxmlformats.org/officeDocument/2006/relationships/hyperlink" Target="https://hal.science/search/index/?q=*&amp;authFullName_s=Florence Leca Mercie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Zoi KAISARLI</dc:title>
  <dc:description>CV</dc:description>
  <dc:subject/>
  <cp:keywords/>
  <cp:category/>
  <cp:lastModifiedBy/>
  <dcterms:created xsi:type="dcterms:W3CDTF">2026-03-23T21:06:26+01:00</dcterms:created>
  <dcterms:modified xsi:type="dcterms:W3CDTF">2026-03-23T21:06:26+01:00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